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42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苏州市用水计划建议申报表（服务业）</w:t>
      </w:r>
    </w:p>
    <w:p>
      <w:pPr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申报单位：（公章）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    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Times New Roman"/>
          <w:sz w:val="28"/>
          <w:szCs w:val="28"/>
        </w:rPr>
        <w:t>申报年（下年）：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b/>
          <w:sz w:val="28"/>
          <w:szCs w:val="28"/>
          <w:u w:val="single"/>
        </w:rPr>
        <w:t>202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>3</w:t>
      </w:r>
      <w:r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sz w:val="28"/>
          <w:szCs w:val="28"/>
        </w:rPr>
        <w:t>年</w:t>
      </w:r>
    </w:p>
    <w:p>
      <w:pPr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填报人：（签字）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Times New Roman"/>
          <w:sz w:val="28"/>
          <w:szCs w:val="28"/>
        </w:rPr>
        <w:t>填报时间：</w:t>
      </w:r>
      <w:r>
        <w:rPr>
          <w:rFonts w:ascii="宋体" w:hAnsi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cs="Times New Roman"/>
          <w:sz w:val="28"/>
          <w:szCs w:val="28"/>
        </w:rPr>
        <w:t>年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月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日</w:t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一、计划用水户基本情况</w:t>
      </w:r>
    </w:p>
    <w:tbl>
      <w:tblPr>
        <w:tblStyle w:val="9"/>
        <w:tblpPr w:leftFromText="180" w:rightFromText="180" w:vertAnchor="text" w:tblpX="-156" w:tblpY="172"/>
        <w:tblW w:w="96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304"/>
        <w:gridCol w:w="1304"/>
        <w:gridCol w:w="227"/>
        <w:gridCol w:w="1304"/>
        <w:gridCol w:w="893"/>
        <w:gridCol w:w="638"/>
        <w:gridCol w:w="1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行业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法人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邮编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23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节水管理制度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节水专人管理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节水管理台账</w:t>
            </w:r>
          </w:p>
        </w:tc>
        <w:tc>
          <w:tcPr>
            <w:tcW w:w="174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分级水表计量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日常抄表记录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供水管网图纸 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开展水平衡测试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定期巡查检修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开展用水审计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跑冒滴漏现象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省级节水型单位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节水宣传教育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雨水收集利用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再生水利用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二、近三年用水量及下年度（2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年）用水计划建议</w:t>
      </w:r>
    </w:p>
    <w:tbl>
      <w:tblPr>
        <w:tblStyle w:val="9"/>
        <w:tblW w:w="9615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870"/>
        <w:gridCol w:w="1414"/>
        <w:gridCol w:w="1415"/>
        <w:gridCol w:w="1414"/>
        <w:gridCol w:w="141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项目</w:t>
            </w:r>
          </w:p>
        </w:tc>
        <w:tc>
          <w:tcPr>
            <w:tcW w:w="14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时段</w:t>
            </w:r>
          </w:p>
        </w:tc>
        <w:tc>
          <w:tcPr>
            <w:tcW w:w="14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自来水</w:t>
            </w:r>
          </w:p>
        </w:tc>
        <w:tc>
          <w:tcPr>
            <w:tcW w:w="14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地表水</w:t>
            </w:r>
          </w:p>
        </w:tc>
        <w:tc>
          <w:tcPr>
            <w:tcW w:w="14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地下水</w:t>
            </w:r>
          </w:p>
        </w:tc>
        <w:tc>
          <w:tcPr>
            <w:tcW w:w="15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</w:tc>
        <w:tc>
          <w:tcPr>
            <w:tcW w:w="187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取水量（m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hint="eastAsia" w:cs="Times New Roman"/>
                <w:b/>
                <w:szCs w:val="21"/>
              </w:rPr>
              <w:t>）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1"/>
                <w:u w:val="single"/>
                <w:lang w:val="en-US" w:eastAsia="zh-CN"/>
              </w:rPr>
              <w:t>20</w:t>
            </w:r>
            <w:r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（前年）</w:t>
            </w:r>
          </w:p>
        </w:tc>
        <w:tc>
          <w:tcPr>
            <w:tcW w:w="141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1"/>
                <w:u w:val="single"/>
                <w:lang w:val="en-US" w:eastAsia="zh-CN"/>
              </w:rPr>
              <w:t>21</w:t>
            </w:r>
            <w:r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（去年）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  <w:u w:val="single"/>
              </w:rPr>
              <w:t xml:space="preserve"> 202</w:t>
            </w:r>
            <w:r>
              <w:rPr>
                <w:rFonts w:hint="eastAsia" w:cs="Times New Roman"/>
                <w:sz w:val="24"/>
                <w:szCs w:val="21"/>
                <w:u w:val="single"/>
                <w:lang w:val="en-US" w:eastAsia="zh-CN"/>
              </w:rPr>
              <w:t>2</w:t>
            </w:r>
            <w:r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（当年）</w:t>
            </w:r>
          </w:p>
        </w:tc>
        <w:tc>
          <w:tcPr>
            <w:tcW w:w="141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度</w:t>
            </w:r>
          </w:p>
        </w:tc>
        <w:tc>
          <w:tcPr>
            <w:tcW w:w="18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总量建议(m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>
              <w:rPr>
                <w:rFonts w:hint="eastAsia" w:cs="Times New Roman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1"/>
              </w:rPr>
            </w:pPr>
            <w:r>
              <w:rPr>
                <w:rFonts w:cs="Times New Roman"/>
                <w:b/>
                <w:sz w:val="24"/>
                <w:szCs w:val="21"/>
                <w:u w:val="single"/>
              </w:rPr>
              <w:t xml:space="preserve"> 202</w:t>
            </w:r>
            <w:r>
              <w:rPr>
                <w:rFonts w:hint="eastAsia" w:cs="Times New Roman"/>
                <w:b/>
                <w:sz w:val="24"/>
                <w:szCs w:val="21"/>
                <w:u w:val="single"/>
                <w:lang w:val="en-US" w:eastAsia="zh-CN"/>
              </w:rPr>
              <w:t>3</w:t>
            </w:r>
            <w:r>
              <w:rPr>
                <w:rFonts w:cs="Times New Roman"/>
                <w:b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b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 w:val="15"/>
                <w:szCs w:val="21"/>
              </w:rPr>
              <w:t>（下年）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5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下年度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建议说明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三、现状用水水平及下年度（2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年）预测</w:t>
      </w:r>
    </w:p>
    <w:tbl>
      <w:tblPr>
        <w:tblStyle w:val="9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498"/>
        <w:gridCol w:w="728"/>
        <w:gridCol w:w="728"/>
        <w:gridCol w:w="728"/>
        <w:gridCol w:w="783"/>
        <w:gridCol w:w="783"/>
        <w:gridCol w:w="621"/>
        <w:gridCol w:w="621"/>
        <w:gridCol w:w="1091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用水项目</w:t>
            </w:r>
          </w:p>
        </w:tc>
        <w:tc>
          <w:tcPr>
            <w:tcW w:w="296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数量</w:t>
            </w:r>
          </w:p>
        </w:tc>
        <w:tc>
          <w:tcPr>
            <w:tcW w:w="78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全年用水天数</w:t>
            </w:r>
          </w:p>
        </w:tc>
        <w:tc>
          <w:tcPr>
            <w:tcW w:w="2333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用水定额标准</w:t>
            </w:r>
          </w:p>
        </w:tc>
        <w:tc>
          <w:tcPr>
            <w:tcW w:w="1590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规模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实际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预测</w:t>
            </w:r>
          </w:p>
        </w:tc>
        <w:tc>
          <w:tcPr>
            <w:tcW w:w="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先进值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通用值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办公楼</w:t>
            </w:r>
          </w:p>
        </w:tc>
        <w:tc>
          <w:tcPr>
            <w:tcW w:w="149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党政机关办公楼</w:t>
            </w: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09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/(人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商贸办公写字楼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/(</w:t>
            </w:r>
            <w:r>
              <w:rPr>
                <w:rFonts w:cs="Times New Roman"/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Times New Roman"/>
                <w:sz w:val="18"/>
                <w:szCs w:val="18"/>
              </w:rPr>
              <w:t>·a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无水冷中央空调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/(</w:t>
            </w:r>
            <w:r>
              <w:rPr>
                <w:rFonts w:cs="Times New Roman"/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Times New Roman"/>
                <w:sz w:val="18"/>
                <w:szCs w:val="18"/>
              </w:rPr>
              <w:t>·a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有水冷中央空调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建筑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建筑施工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商品砼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现浇砼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零售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商场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超级市场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集贸市场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运输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客运火车站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不包括机车清洗用水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高速公路服务区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住宿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四、五星级宾馆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有对外正餐服务的，餐饮用水量另计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三星级宾馆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一、二星级宾馆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无星级的宾馆、招待所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餐饮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正餐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面积&gt;</w:t>
            </w:r>
            <w:r>
              <w:rPr>
                <w:rFonts w:cs="Times New Roman"/>
                <w:sz w:val="18"/>
                <w:szCs w:val="18"/>
              </w:rPr>
              <w:t>500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面积≤</w:t>
            </w:r>
            <w:r>
              <w:rPr>
                <w:rFonts w:cs="Times New Roman"/>
                <w:sz w:val="18"/>
                <w:szCs w:val="18"/>
              </w:rPr>
              <w:t>500m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公共设施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草坪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城市公园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名胜风景区管理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居民服务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洗染店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kg干衣物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hint="eastAsia" w:cs="Times New Roman"/>
                <w:sz w:val="18"/>
                <w:szCs w:val="18"/>
              </w:rPr>
              <w:t>kg干衣物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理发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美容</w:t>
            </w: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用水项目</w:t>
            </w:r>
          </w:p>
        </w:tc>
        <w:tc>
          <w:tcPr>
            <w:tcW w:w="296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数量</w:t>
            </w:r>
          </w:p>
        </w:tc>
        <w:tc>
          <w:tcPr>
            <w:tcW w:w="78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全年用水天数</w:t>
            </w:r>
          </w:p>
        </w:tc>
        <w:tc>
          <w:tcPr>
            <w:tcW w:w="233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用水定额标准</w:t>
            </w:r>
          </w:p>
        </w:tc>
        <w:tc>
          <w:tcPr>
            <w:tcW w:w="15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规模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实际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预测</w:t>
            </w:r>
          </w:p>
        </w:tc>
        <w:tc>
          <w:tcPr>
            <w:tcW w:w="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先进值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通用值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15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居民服务</w:t>
            </w:r>
          </w:p>
        </w:tc>
        <w:tc>
          <w:tcPr>
            <w:tcW w:w="14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洗浴</w:t>
            </w: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9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大众洗浴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综合洗浴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洗车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辆·次)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大型车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辆·次)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中型车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辆·次)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小型车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教育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学前教育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小学教育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不包括实验用水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中等教育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高等教育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培训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卫生及社会工作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病房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床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三级医院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床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一、二级医院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门诊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养老院、福利院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床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文化艺术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电影放映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剧院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图书馆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档案馆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博物馆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.8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体育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游泳池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%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按泳池容积日均补水量，以百分数表示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冲淋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其他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四、当年度（2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年）用水情况总结</w:t>
      </w:r>
    </w:p>
    <w:tbl>
      <w:tblPr>
        <w:tblStyle w:val="9"/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9615" w:type="dxa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0" w:name="_Hlk25933098"/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</w:tc>
      </w:tr>
      <w:bookmarkEnd w:id="0"/>
    </w:tbl>
    <w:p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378333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MjVkOWQyMTM3MTBiYTNkMmZmMzhjMTU5MjRkNTUifQ=="/>
  </w:docVars>
  <w:rsids>
    <w:rsidRoot w:val="005D6EE0"/>
    <w:rsid w:val="00007E5A"/>
    <w:rsid w:val="0001319A"/>
    <w:rsid w:val="00014C05"/>
    <w:rsid w:val="00024A2E"/>
    <w:rsid w:val="00054BE0"/>
    <w:rsid w:val="000719D3"/>
    <w:rsid w:val="000769E3"/>
    <w:rsid w:val="000C03C1"/>
    <w:rsid w:val="000C6F79"/>
    <w:rsid w:val="00103BA8"/>
    <w:rsid w:val="0012240D"/>
    <w:rsid w:val="0013666C"/>
    <w:rsid w:val="00150E33"/>
    <w:rsid w:val="00172EC2"/>
    <w:rsid w:val="00181641"/>
    <w:rsid w:val="001F46DD"/>
    <w:rsid w:val="0020558E"/>
    <w:rsid w:val="00274F48"/>
    <w:rsid w:val="00292F5D"/>
    <w:rsid w:val="00294970"/>
    <w:rsid w:val="002A0ED9"/>
    <w:rsid w:val="002B7563"/>
    <w:rsid w:val="002D5091"/>
    <w:rsid w:val="002E1270"/>
    <w:rsid w:val="00300FA9"/>
    <w:rsid w:val="00317347"/>
    <w:rsid w:val="0033352B"/>
    <w:rsid w:val="003378EB"/>
    <w:rsid w:val="003740D7"/>
    <w:rsid w:val="00377E44"/>
    <w:rsid w:val="003A6089"/>
    <w:rsid w:val="003B0D52"/>
    <w:rsid w:val="003D1579"/>
    <w:rsid w:val="003E2D31"/>
    <w:rsid w:val="003E35DE"/>
    <w:rsid w:val="00455D0C"/>
    <w:rsid w:val="00467A75"/>
    <w:rsid w:val="00476169"/>
    <w:rsid w:val="0048467B"/>
    <w:rsid w:val="004A03BC"/>
    <w:rsid w:val="004A35FC"/>
    <w:rsid w:val="004B03A9"/>
    <w:rsid w:val="004E31A2"/>
    <w:rsid w:val="004F145A"/>
    <w:rsid w:val="00524CAD"/>
    <w:rsid w:val="0054436D"/>
    <w:rsid w:val="005727BF"/>
    <w:rsid w:val="00575EBF"/>
    <w:rsid w:val="00583365"/>
    <w:rsid w:val="0058745A"/>
    <w:rsid w:val="00590893"/>
    <w:rsid w:val="005A265D"/>
    <w:rsid w:val="005A56F7"/>
    <w:rsid w:val="005A613B"/>
    <w:rsid w:val="005A7A7B"/>
    <w:rsid w:val="005B2106"/>
    <w:rsid w:val="005C13BF"/>
    <w:rsid w:val="005C4136"/>
    <w:rsid w:val="005D6EE0"/>
    <w:rsid w:val="005D7630"/>
    <w:rsid w:val="00601AF4"/>
    <w:rsid w:val="006053FD"/>
    <w:rsid w:val="00614C97"/>
    <w:rsid w:val="00633997"/>
    <w:rsid w:val="00634AA5"/>
    <w:rsid w:val="00656EE3"/>
    <w:rsid w:val="00672827"/>
    <w:rsid w:val="00681A22"/>
    <w:rsid w:val="00693A48"/>
    <w:rsid w:val="00694C89"/>
    <w:rsid w:val="006A4635"/>
    <w:rsid w:val="006D1A01"/>
    <w:rsid w:val="006D2972"/>
    <w:rsid w:val="006F49B5"/>
    <w:rsid w:val="00710CC0"/>
    <w:rsid w:val="00727B6D"/>
    <w:rsid w:val="00752ACC"/>
    <w:rsid w:val="00764B8C"/>
    <w:rsid w:val="007A73F5"/>
    <w:rsid w:val="007A7B68"/>
    <w:rsid w:val="007C2A36"/>
    <w:rsid w:val="007C6841"/>
    <w:rsid w:val="007E3A3B"/>
    <w:rsid w:val="00861AB4"/>
    <w:rsid w:val="00883CE9"/>
    <w:rsid w:val="00896B1B"/>
    <w:rsid w:val="008A4B25"/>
    <w:rsid w:val="008D74F6"/>
    <w:rsid w:val="008E293B"/>
    <w:rsid w:val="008F00FA"/>
    <w:rsid w:val="008F56AA"/>
    <w:rsid w:val="008F75AB"/>
    <w:rsid w:val="009063AF"/>
    <w:rsid w:val="00910020"/>
    <w:rsid w:val="00924EE7"/>
    <w:rsid w:val="009316DD"/>
    <w:rsid w:val="00942D08"/>
    <w:rsid w:val="009639E1"/>
    <w:rsid w:val="00980EA0"/>
    <w:rsid w:val="009B7088"/>
    <w:rsid w:val="009C1A8D"/>
    <w:rsid w:val="009D0F2C"/>
    <w:rsid w:val="009F609A"/>
    <w:rsid w:val="00A14282"/>
    <w:rsid w:val="00A33BE2"/>
    <w:rsid w:val="00A36424"/>
    <w:rsid w:val="00A40998"/>
    <w:rsid w:val="00A6471F"/>
    <w:rsid w:val="00A671EF"/>
    <w:rsid w:val="00A73A8F"/>
    <w:rsid w:val="00A83424"/>
    <w:rsid w:val="00A83FCE"/>
    <w:rsid w:val="00AB02DA"/>
    <w:rsid w:val="00AB0D32"/>
    <w:rsid w:val="00AB611E"/>
    <w:rsid w:val="00AC4D77"/>
    <w:rsid w:val="00AD55BC"/>
    <w:rsid w:val="00AE126C"/>
    <w:rsid w:val="00AE530B"/>
    <w:rsid w:val="00AF3FC8"/>
    <w:rsid w:val="00B037F5"/>
    <w:rsid w:val="00B1379B"/>
    <w:rsid w:val="00B142F5"/>
    <w:rsid w:val="00B14D24"/>
    <w:rsid w:val="00B4063C"/>
    <w:rsid w:val="00B50397"/>
    <w:rsid w:val="00B5406C"/>
    <w:rsid w:val="00B97B63"/>
    <w:rsid w:val="00BA27E8"/>
    <w:rsid w:val="00BD2C3E"/>
    <w:rsid w:val="00BF419F"/>
    <w:rsid w:val="00C31D29"/>
    <w:rsid w:val="00C36148"/>
    <w:rsid w:val="00C42172"/>
    <w:rsid w:val="00C85930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55782"/>
    <w:rsid w:val="00D73415"/>
    <w:rsid w:val="00DA3EEF"/>
    <w:rsid w:val="00DA4E56"/>
    <w:rsid w:val="00DB27F2"/>
    <w:rsid w:val="00DD1139"/>
    <w:rsid w:val="00DD2779"/>
    <w:rsid w:val="00DE5E2C"/>
    <w:rsid w:val="00E02208"/>
    <w:rsid w:val="00E05F9B"/>
    <w:rsid w:val="00E15AEC"/>
    <w:rsid w:val="00E25A8E"/>
    <w:rsid w:val="00E602F5"/>
    <w:rsid w:val="00E6100E"/>
    <w:rsid w:val="00E62194"/>
    <w:rsid w:val="00E66620"/>
    <w:rsid w:val="00E7258F"/>
    <w:rsid w:val="00E82F7D"/>
    <w:rsid w:val="00E84BBC"/>
    <w:rsid w:val="00EE361D"/>
    <w:rsid w:val="00EF67E3"/>
    <w:rsid w:val="00F10D24"/>
    <w:rsid w:val="00F51534"/>
    <w:rsid w:val="00F82A57"/>
    <w:rsid w:val="00F92FD5"/>
    <w:rsid w:val="00FC4375"/>
    <w:rsid w:val="00FC645D"/>
    <w:rsid w:val="00FD7D15"/>
    <w:rsid w:val="00FE2562"/>
    <w:rsid w:val="00FE4ECE"/>
    <w:rsid w:val="00FE71BA"/>
    <w:rsid w:val="3AF752A0"/>
    <w:rsid w:val="3E2B1F47"/>
    <w:rsid w:val="535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unnam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E2D7-B829-4F5A-8E78-BE4B5892E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1123</Words>
  <Characters>1460</Characters>
  <Lines>26</Lines>
  <Paragraphs>7</Paragraphs>
  <TotalTime>5</TotalTime>
  <ScaleCrop>false</ScaleCrop>
  <LinksUpToDate>false</LinksUpToDate>
  <CharactersWithSpaces>2980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2019-11-21T02:11:00Z</dcterms:created>
  <dc:creator>dubble</dc:creator>
  <cp:lastModifiedBy>妞妞大胖纸</cp:lastModifiedBy>
  <cp:lastPrinted>2020-12-02T05:51:00Z</cp:lastPrinted>
  <dcterms:modified xsi:type="dcterms:W3CDTF">2022-12-07T03:32:15Z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D3D0C05D5DF04CB5BA7B20788AEAB622</vt:lpwstr>
  </property>
</Properties>
</file>