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2026年苏州市全面深化河湖长制改革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工作要点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楷体_GB2312" w:cs="Times New Roman"/>
          <w:sz w:val="32"/>
          <w:szCs w:val="32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全面深化河湖长制改革工作坚持以习近平生态文明思想为指导，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深入贯彻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党的二十大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二十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历次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全会精神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，落实中央、省关于河长制工作部署，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一以贯之强化河湖长制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坚持以幸福河湖建设为主线，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治水之害、用水之利、彰水之美，奋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力打造“河畅水清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岸绿景美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、人和业兴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”的幸福河湖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24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-4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-4"/>
          <w:kern w:val="0"/>
          <w:sz w:val="32"/>
          <w:szCs w:val="32"/>
          <w:lang w:val="en-US" w:eastAsia="zh-CN" w:bidi="ar"/>
        </w:rPr>
        <w:t>一、</w:t>
      </w:r>
      <w:r>
        <w:rPr>
          <w:rFonts w:hint="default" w:ascii="Times New Roman" w:hAnsi="Times New Roman" w:eastAsia="黑体" w:cs="Times New Roman"/>
          <w:color w:val="auto"/>
          <w:spacing w:val="-4"/>
          <w:sz w:val="32"/>
          <w:szCs w:val="32"/>
          <w:lang w:val="en-US" w:eastAsia="zh-CN"/>
        </w:rPr>
        <w:t>精细统筹谋划，不断巩固河长制责任体系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深化工作责任落实</w:t>
      </w:r>
      <w:r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强化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河湖长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巡河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</w:rPr>
        <w:t>履职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，推进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市级河长抓推进、县级河长抓治理、镇村级河长抓管护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实施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市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级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重点河湖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问题、项目、责任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“三个清单”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66项并向县级延伸，发挥基层河湖长“吹哨”作用，对巡查发现问题及时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交办、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跟踪督导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实行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河湖长动态调整和责任递补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适时推进“一河（湖）一策”修编工作，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分级分类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开展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河湖长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制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培训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各河长制相关职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能部门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加大协同联动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，形成齐抓共管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合力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</w:rPr>
        <w:t>。</w:t>
      </w:r>
      <w:r>
        <w:rPr>
          <w:rFonts w:hint="eastAsia" w:ascii="楷体_GB2312" w:hAnsi="楷体_GB2312" w:eastAsia="楷体_GB2312" w:cs="楷体_GB2312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color w:val="auto"/>
          <w:spacing w:val="-4"/>
          <w:sz w:val="32"/>
          <w:szCs w:val="32"/>
          <w:highlight w:val="none"/>
          <w:lang w:val="en-US" w:eastAsia="zh-CN"/>
        </w:rPr>
        <w:t>牵头单位：市河长办；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市发改委、市工信局、市财政局、市自然资源和规划局、市生态环境局、市住建局、市园林绿化局、市城管局、市交通运输局、市农业农村局、市文广旅局</w:t>
      </w:r>
      <w:r>
        <w:rPr>
          <w:rFonts w:hint="eastAsia" w:ascii="楷体_GB2312" w:hAnsi="楷体_GB2312" w:eastAsia="楷体_GB2312" w:cs="楷体_GB2312"/>
          <w:bCs/>
          <w:color w:val="auto"/>
          <w:spacing w:val="-4"/>
          <w:sz w:val="32"/>
          <w:szCs w:val="32"/>
          <w:highlight w:val="none"/>
          <w:lang w:val="en-US" w:eastAsia="zh-CN"/>
        </w:rPr>
        <w:t>按各自职责分工配合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）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注重</w:t>
      </w:r>
      <w:r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河湖协同治理。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依托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太湖淀山湖、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环太湖四市河湖长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大运河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-SA"/>
        </w:rPr>
        <w:t>管理保护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协作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  <w:t>机制，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  <w:t>推进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重要跨界水体共保联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  <w:t>治和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镇村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bidi="ar-SA"/>
        </w:rPr>
        <w:t>跨界河湖共治共管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-SA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" w:bidi="ar-SA"/>
        </w:rPr>
        <w:t>开展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bidi="ar-SA"/>
        </w:rPr>
        <w:t>太湖流域片跨省幸福河湖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 w:bidi="ar-SA"/>
        </w:rPr>
        <w:t>建设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加强示范区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面漂浮物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联防联控，保障进博会外围水环境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，助推沪苏（州）同城化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做好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河长制公示牌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管护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，拓宽公众监督渠道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，鼓励民间河长等多元力量参与护河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hint="eastAsia" w:ascii="楷体_GB2312" w:hAnsi="楷体_GB2312" w:eastAsia="楷体_GB2312" w:cs="楷体_GB2312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color w:val="auto"/>
          <w:spacing w:val="-4"/>
          <w:sz w:val="32"/>
          <w:szCs w:val="32"/>
          <w:highlight w:val="none"/>
          <w:lang w:val="en-US" w:eastAsia="zh-CN"/>
        </w:rPr>
        <w:t>牵头单位：市河长办</w:t>
      </w:r>
      <w:r>
        <w:rPr>
          <w:rFonts w:hint="eastAsia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）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24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-4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-4"/>
          <w:kern w:val="0"/>
          <w:sz w:val="32"/>
          <w:szCs w:val="32"/>
          <w:lang w:val="en-US" w:eastAsia="zh-CN" w:bidi="ar"/>
        </w:rPr>
        <w:t>二、</w:t>
      </w:r>
      <w:r>
        <w:rPr>
          <w:rFonts w:hint="default" w:ascii="Times New Roman" w:hAnsi="Times New Roman" w:eastAsia="黑体" w:cs="Times New Roman"/>
          <w:color w:val="auto"/>
          <w:spacing w:val="-4"/>
          <w:sz w:val="32"/>
          <w:szCs w:val="32"/>
          <w:lang w:val="en-US" w:eastAsia="zh-CN"/>
        </w:rPr>
        <w:t>精准聚焦发力，持续推动全域幸福河湖建设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4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夯实水安全保障基础</w:t>
      </w:r>
      <w:r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加快构建安全韧性区域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现代水网，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bidi="ar-SA"/>
        </w:rPr>
        <w:t>吴淞江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eastAsia="zh-CN" w:bidi="ar-SA"/>
        </w:rPr>
        <w:t>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江苏段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eastAsia="zh-CN" w:bidi="ar-SA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bidi="ar-SA"/>
        </w:rPr>
        <w:t>整治工程完成年度投资1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bidi="ar-SA"/>
        </w:rPr>
        <w:t>亿元，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eastAsia="zh" w:bidi="ar-SA"/>
        </w:rPr>
        <w:t>力争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bidi="ar-SA"/>
        </w:rPr>
        <w:t>太浦河后续（一期）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工程和</w:t>
      </w:r>
      <w:r>
        <w:rPr>
          <w:rFonts w:hint="eastAsia" w:ascii="仿宋_GB2312" w:hAnsi="仿宋_GB2312" w:eastAsia="仿宋_GB2312" w:cs="仿宋_GB2312"/>
          <w:sz w:val="32"/>
          <w:szCs w:val="32"/>
          <w:lang w:eastAsia="zh"/>
        </w:rPr>
        <w:t>浏河江边枢纽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bidi="ar-SA"/>
        </w:rPr>
        <w:t>年内开工，太湖东片排涝工程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eastAsia="zh-CN" w:bidi="ar-SA"/>
        </w:rPr>
        <w:t>开展项建、可研等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前期工作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bidi="ar-SA"/>
        </w:rPr>
        <w:t>北福山塘江边泵站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完工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bidi="ar-SA"/>
        </w:rPr>
        <w:t>投运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持续提升蓝藻防控处置能力，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开展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市域供水“一张网”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建设，强化饮用水水源地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和供水安全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加强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" w:bidi="ar-SA"/>
        </w:rPr>
        <w:t>暴雨、台风等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极端天气防范应对，做好常态化防汛备汛。</w:t>
      </w:r>
      <w:r>
        <w:rPr>
          <w:rFonts w:hint="eastAsia" w:ascii="楷体_GB2312" w:hAnsi="楷体_GB2312" w:eastAsia="楷体_GB2312" w:cs="楷体_GB2312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Cs/>
          <w:color w:val="auto"/>
          <w:spacing w:val="-4"/>
          <w:sz w:val="32"/>
          <w:szCs w:val="32"/>
          <w:highlight w:val="none"/>
          <w:lang w:val="en-US" w:eastAsia="zh-CN"/>
        </w:rPr>
        <w:t>市发改委、市财政局、市资规局、市住建局、市城管局、市交通局、市水务局按各自职责分工负责）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楷体_GB2312" w:cs="Times New Roman"/>
          <w:color w:val="FF0000"/>
          <w:spacing w:val="-4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.强化水环境治理成效。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开展绿色制造体系建设，强化省市级“零碳”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“近零碳”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工厂培育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加强污水处理基础设施能力建设，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推进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省级以上园区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“一园一策”和工业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废水分质分类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新增工业废水处理能力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" w:bidi="ar-SA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万吨/日、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生活污水处理能力15万吨/日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新改建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生活污水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管网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"/>
        </w:rPr>
        <w:t>35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公里</w:t>
      </w:r>
      <w:r>
        <w:rPr>
          <w:rFonts w:hint="eastAsia" w:ascii="Times New Roman" w:hAnsi="Times New Roman" w:eastAsia="仿宋_GB2312" w:cs="Times New Roman"/>
          <w:color w:val="FF0000"/>
          <w:kern w:val="0"/>
          <w:sz w:val="32"/>
          <w:szCs w:val="32"/>
          <w:lang w:val="en-US" w:eastAsia="zh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开展“一断面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一方案”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溯源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攻坚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</w:rPr>
        <w:t>国省考断面优Ⅲ比例完成省定目标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实施苏南运河、太浦河航道整治，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开展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船舶水污染物“船港城”一体化治理。推进绿色农业发展，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落实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养殖尾水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达标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排放监管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和</w:t>
      </w:r>
      <w:r>
        <w:rPr>
          <w:rFonts w:hint="eastAsia" w:ascii="Times New Roman" w:hAnsi="Times New Roman" w:eastAsia="仿宋_GB2312"/>
          <w:sz w:val="32"/>
          <w:szCs w:val="22"/>
        </w:rPr>
        <w:t>高标准农田排灌系统生态化改造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开展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乡村河湖管护攻坚行动，做好“除黑消劣”动态清零。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市工信局、市生态环境局、市交通局、市水务局、市农业农村局按各自职责分工负责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spacing w:line="560" w:lineRule="exact"/>
        <w:ind w:firstLine="624" w:firstLineChars="200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.加大水生态修复力度。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紧抓长江大保护、新一轮太湖综合治理、大运河保护和示范区生态绿色一体化发展，实现长江干流水质稳定Ⅱ类、27条通江河道全部达到或好于Ⅲ类。有序推进太湖苏州辖区生态清淤和生境提升工程，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完成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bidi="ar-SA"/>
        </w:rPr>
        <w:t>太湖苏州辖区生态清淤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eastAsia="zh" w:bidi="ar-SA"/>
        </w:rPr>
        <w:t>2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bidi="ar-SA"/>
        </w:rPr>
        <w:t>00万方。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开展阳澄湖、淀山湖、元荡等重点湖泊综合治理，确保高质量实现“两保两提”。新建幸福河湖300条，完成昆承湖幸福河湖建设，开展幸福河湖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"/>
        </w:rPr>
        <w:t>建设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效果评估，争创省级亮点标杆。建设农村生态河道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公里，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创建8个以上省级生态清洁小流域。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推进长江干流、太湖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大运河等沿岸造林绿化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，加强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湿地资源保护修复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全市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造林绿化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面积达到省定目标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楷体_GB2312" w:hAnsi="楷体_GB2312" w:eastAsia="楷体_GB2312" w:cs="楷体_GB2312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（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市发改委、市资规局、市生态环境局、市园林局、市水务局、市农业农村局按各自职责分工负责</w:t>
      </w:r>
      <w:r>
        <w:rPr>
          <w:rFonts w:hint="eastAsia" w:ascii="楷体_GB2312" w:hAnsi="楷体_GB2312" w:eastAsia="楷体_GB2312" w:cs="楷体_GB2312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）</w:t>
      </w: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 w:val="0"/>
        <w:topLinePunct w:val="0"/>
        <w:autoSpaceDE/>
        <w:autoSpaceDN/>
        <w:bidi w:val="0"/>
        <w:spacing w:line="560" w:lineRule="exact"/>
        <w:ind w:firstLine="624" w:firstLineChars="200"/>
        <w:textAlignment w:val="auto"/>
        <w:rPr>
          <w:rFonts w:hint="default" w:ascii="Times New Roman" w:hAnsi="Times New Roman" w:eastAsia="仿宋_GB2312" w:cs="Times New Roman"/>
          <w:color w:val="FF0000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.加强河湖</w:t>
      </w:r>
      <w:r>
        <w:rPr>
          <w:rFonts w:hint="eastAsia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水域</w:t>
      </w:r>
      <w:r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岸线空间管控。</w:t>
      </w:r>
      <w:r>
        <w:rPr>
          <w:rFonts w:hint="default" w:ascii="仿宋_GB2312" w:hAnsi="仿宋_GB2312" w:eastAsia="仿宋_GB2312" w:cs="仿宋_GB2312"/>
          <w:color w:val="auto"/>
          <w:spacing w:val="-4"/>
          <w:sz w:val="32"/>
          <w:szCs w:val="32"/>
          <w:lang w:val="en-US" w:eastAsia="zh"/>
        </w:rPr>
        <w:t>开展重点水域岸线空间巡查，推进长江以及重要入江（湖）河道淤积、冲刷监测。推动骨干河道管理范围调整，发布县级河道管理名录，强化水域岸线分区管控，规范涉河项目审批全流程监管。严格违法问题核查整治，保持对碍洪违建、非法采砂、偷排泥浆等违法行为的打击态势。</w:t>
      </w:r>
      <w:r>
        <w:rPr>
          <w:rStyle w:val="10"/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eastAsia="zh-CN"/>
        </w:rPr>
        <w:t>（牵头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eastAsia="zh-CN"/>
        </w:rPr>
        <w:t>单位：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市水务局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）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4" w:firstLineChars="200"/>
        <w:jc w:val="both"/>
        <w:textAlignment w:val="auto"/>
        <w:rPr>
          <w:rFonts w:hint="eastAsia" w:ascii="楷体_GB2312" w:hAnsi="楷体_GB2312" w:eastAsia="楷体_GB2312" w:cs="楷体_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楷体_GB2312" w:cs="Times New Roman"/>
          <w:color w:val="auto"/>
          <w:spacing w:val="-4"/>
          <w:sz w:val="32"/>
          <w:szCs w:val="32"/>
          <w:lang w:val="en-US" w:eastAsia="zh-CN"/>
        </w:rPr>
        <w:t>.严格水资源集约利用。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落实水资源刚性约束制度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-4"/>
          <w:kern w:val="32"/>
          <w:sz w:val="32"/>
          <w:szCs w:val="32"/>
        </w:rPr>
        <w:t>科学确定</w:t>
      </w:r>
      <w:r>
        <w:rPr>
          <w:rFonts w:hint="eastAsia" w:ascii="Times New Roman" w:hAnsi="Times New Roman" w:eastAsia="仿宋_GB2312" w:cs="Times New Roman"/>
          <w:color w:val="auto"/>
          <w:spacing w:val="-4"/>
          <w:kern w:val="32"/>
          <w:sz w:val="32"/>
          <w:szCs w:val="32"/>
          <w:lang w:val="en-US" w:eastAsia="zh-CN"/>
        </w:rPr>
        <w:t>全市可用水量及</w:t>
      </w:r>
      <w:r>
        <w:rPr>
          <w:rFonts w:hint="default" w:ascii="Times New Roman" w:hAnsi="Times New Roman" w:eastAsia="仿宋_GB2312" w:cs="Times New Roman"/>
          <w:color w:val="auto"/>
          <w:spacing w:val="-4"/>
          <w:kern w:val="32"/>
          <w:sz w:val="32"/>
          <w:szCs w:val="32"/>
        </w:rPr>
        <w:t>“十五五”用水</w:t>
      </w:r>
      <w:r>
        <w:rPr>
          <w:rFonts w:hint="eastAsia" w:ascii="Times New Roman" w:hAnsi="Times New Roman" w:eastAsia="仿宋_GB2312" w:cs="Times New Roman"/>
          <w:color w:val="auto"/>
          <w:spacing w:val="0"/>
          <w:kern w:val="0"/>
          <w:sz w:val="32"/>
          <w:szCs w:val="32"/>
        </w:rPr>
        <w:t>控制总量。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加强取用水管理，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深入推进节水行动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加强再生水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等非常规水源利用，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完善水权交易和收储制度，推进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张家港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“水预算”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管理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试点。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eastAsia="zh-CN" w:bidi="ar"/>
        </w:rPr>
        <w:t>年度万元GDP用水量、再生水利用率达到省定目标，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农田灌溉水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有效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利用系数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不低于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0.696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eastAsia="zh-CN" w:bidi="ar"/>
        </w:rPr>
        <w:t>。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kern w:val="2"/>
          <w:sz w:val="32"/>
          <w:szCs w:val="32"/>
          <w:highlight w:val="none"/>
          <w:lang w:eastAsia="zh-CN" w:bidi="ar-SA"/>
        </w:rPr>
        <w:t>（牵头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单位：市水务局</w:t>
      </w: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highlight w:val="none"/>
          <w:lang w:val="en-US" w:eastAsia="zh-CN" w:bidi="ar-SA"/>
        </w:rPr>
        <w:t>）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24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-4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-4"/>
          <w:sz w:val="32"/>
          <w:szCs w:val="32"/>
          <w:lang w:val="en-US" w:eastAsia="zh-CN"/>
        </w:rPr>
        <w:t>三、精</w:t>
      </w:r>
      <w:r>
        <w:rPr>
          <w:rFonts w:hint="eastAsia" w:ascii="Times New Roman" w:hAnsi="Times New Roman" w:eastAsia="黑体" w:cs="Times New Roman"/>
          <w:color w:val="auto"/>
          <w:spacing w:val="-4"/>
          <w:sz w:val="32"/>
          <w:szCs w:val="32"/>
          <w:lang w:val="en-US" w:eastAsia="zh"/>
        </w:rPr>
        <w:t>心</w:t>
      </w:r>
      <w:r>
        <w:rPr>
          <w:rFonts w:hint="default" w:ascii="Times New Roman" w:hAnsi="Times New Roman" w:eastAsia="黑体" w:cs="Times New Roman"/>
          <w:color w:val="auto"/>
          <w:spacing w:val="-4"/>
          <w:sz w:val="32"/>
          <w:szCs w:val="32"/>
          <w:lang w:val="en-US" w:eastAsia="zh-CN"/>
        </w:rPr>
        <w:t>挖掘特色，稳步推进河湖生态产品价值转化</w:t>
      </w:r>
    </w:p>
    <w:p>
      <w:pPr>
        <w:spacing w:line="560" w:lineRule="exact"/>
        <w:ind w:firstLine="616" w:firstLineChars="200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8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.注重水文化活态传承。</w:t>
      </w:r>
      <w:r>
        <w:rPr>
          <w:rFonts w:ascii="Times New Roman" w:hAnsi="Times New Roman" w:eastAsia="仿宋_GB2312" w:cs="Times New Roman"/>
          <w:sz w:val="32"/>
          <w:szCs w:val="32"/>
        </w:rPr>
        <w:t>实施河湖文化数字化保护工程，建立水文化资源数据库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，推进《苏州水利史》编制工作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盘活利用现有水文化馆、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治水科普园和河长制主题公园，利用水日水周等重要时间节点开展主题宣传，营造人人护水的良好氛围。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市文广旅局、市水务局按各自职责分工负责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）</w:t>
      </w:r>
    </w:p>
    <w:p>
      <w:pPr>
        <w:overflowPunct w:val="0"/>
        <w:spacing w:line="560" w:lineRule="exact"/>
        <w:ind w:firstLine="640" w:firstLineChars="200"/>
        <w:jc w:val="left"/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9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.探索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水产品价值转化。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强化河湖管理与现代农业、交通水运、文化旅游等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统筹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发展，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支持滨水空间、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水上游线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配套设施等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改造提升，促进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水上运动、滨水演艺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等业态融合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，推动太湖一号公路、太湖揽胜、金鸡湖右岸城市客厅等项目开发。持续推进水权水市场改革、水土保持生态产品价值转化交易，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" w:bidi="ar-SA"/>
        </w:rPr>
        <w:t>编制昆承湖幸福河湖GEP核算报告，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用好“水域银行”机制、探索“土方超市”机制，强化水价值转化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变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现。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eastAsia="zh-CN"/>
        </w:rPr>
        <w:t>（市发改委、市资规局、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市交通局、市水务局、市农业农村局、市文广旅局按各自职责分工负责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）</w:t>
      </w:r>
    </w:p>
    <w:p>
      <w:pPr>
        <w:overflowPunct w:val="0"/>
        <w:spacing w:line="560" w:lineRule="exact"/>
        <w:ind w:firstLine="616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color w:val="auto"/>
          <w:spacing w:val="-6"/>
          <w:kern w:val="0"/>
          <w:sz w:val="32"/>
          <w:szCs w:val="32"/>
          <w:shd w:val="clear" w:fill="FFFFFF"/>
          <w:lang w:val="en-US" w:eastAsia="zh-CN" w:bidi="ar"/>
        </w:rPr>
        <w:t>1</w:t>
      </w:r>
      <w:r>
        <w:rPr>
          <w:rFonts w:hint="eastAsia" w:ascii="Times New Roman" w:hAnsi="Times New Roman" w:eastAsia="楷体_GB2312" w:cs="Times New Roman"/>
          <w:b w:val="0"/>
          <w:color w:val="auto"/>
          <w:spacing w:val="-6"/>
          <w:kern w:val="0"/>
          <w:sz w:val="32"/>
          <w:szCs w:val="32"/>
          <w:shd w:val="clear" w:fill="FFFFFF"/>
          <w:lang w:val="en-US" w:eastAsia="zh-CN" w:bidi="ar"/>
        </w:rPr>
        <w:t>0</w:t>
      </w:r>
      <w:r>
        <w:rPr>
          <w:rFonts w:hint="default" w:ascii="Times New Roman" w:hAnsi="Times New Roman" w:eastAsia="楷体_GB2312" w:cs="Times New Roman"/>
          <w:b w:val="0"/>
          <w:color w:val="auto"/>
          <w:spacing w:val="-6"/>
          <w:kern w:val="0"/>
          <w:sz w:val="32"/>
          <w:szCs w:val="32"/>
          <w:shd w:val="clear" w:fill="FFFFFF"/>
          <w:lang w:val="en-US" w:eastAsia="zh-CN" w:bidi="ar"/>
        </w:rPr>
        <w:t>.</w:t>
      </w:r>
      <w:r>
        <w:rPr>
          <w:rFonts w:hint="eastAsia" w:ascii="Times New Roman" w:hAnsi="Times New Roman" w:eastAsia="楷体_GB2312" w:cs="Times New Roman"/>
          <w:b w:val="0"/>
          <w:color w:val="auto"/>
          <w:spacing w:val="-6"/>
          <w:kern w:val="0"/>
          <w:sz w:val="32"/>
          <w:szCs w:val="32"/>
          <w:shd w:val="clear" w:fill="FFFFFF"/>
          <w:lang w:val="en-US" w:eastAsia="zh-CN" w:bidi="ar"/>
        </w:rPr>
        <w:t>提升智慧化管理水平</w:t>
      </w:r>
      <w:r>
        <w:rPr>
          <w:rFonts w:hint="default" w:ascii="Times New Roman" w:hAnsi="Times New Roman" w:eastAsia="楷体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深化数据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归集共享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，探索人工智能在防汛减灾、水资源管理、河湖健康评估等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场景</w:t>
      </w:r>
      <w:r>
        <w:rPr>
          <w:rFonts w:hint="default" w:ascii="Times New Roman" w:hAnsi="Times New Roman" w:eastAsia="仿宋_GB2312" w:cs="Times New Roman"/>
          <w:b w:val="0"/>
          <w:color w:val="auto"/>
          <w:spacing w:val="0"/>
          <w:kern w:val="2"/>
          <w:sz w:val="32"/>
          <w:szCs w:val="32"/>
          <w:highlight w:val="none"/>
          <w:shd w:val="clear" w:fill="auto"/>
          <w:lang w:val="en-US" w:eastAsia="zh-CN" w:bidi="ar-SA"/>
        </w:rPr>
        <w:t>智能化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应用。推广太浦河“云管家”等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重点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河湖监测平台建设，充分利用卫星遥感、AI识别、智能监控等技术手段，开展水动力数值模拟测算、天空地一体化执法巡查等。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Cs w:val="0"/>
          <w:color w:val="auto"/>
          <w:spacing w:val="0"/>
          <w:sz w:val="32"/>
          <w:szCs w:val="32"/>
          <w:highlight w:val="none"/>
          <w:lang w:val="en-US" w:eastAsia="zh-CN"/>
        </w:rPr>
        <w:t>市生态环境局、市水务局按各自职责分工负责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）</w:t>
      </w:r>
    </w:p>
    <w:p>
      <w:pPr>
        <w:overflowPunct w:val="0"/>
        <w:spacing w:line="560" w:lineRule="exact"/>
        <w:ind w:firstLine="640" w:firstLineChars="200"/>
        <w:jc w:val="left"/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val="en-US" w:eastAsia="zh-CN"/>
        </w:rPr>
        <w:t>（以上任务实施单位均为各县级市（区）河长办会同级相关职能部门）</w:t>
      </w:r>
    </w:p>
    <w:p>
      <w:pPr>
        <w:overflowPunct w:val="0"/>
        <w:spacing w:line="560" w:lineRule="exact"/>
        <w:ind w:firstLine="640" w:firstLineChars="200"/>
        <w:jc w:val="left"/>
        <w:rPr>
          <w:rFonts w:hint="default" w:ascii="楷体_GB2312" w:hAnsi="楷体_GB2312" w:eastAsia="楷体_GB2312" w:cs="楷体_GB2312"/>
          <w:color w:val="auto"/>
          <w:sz w:val="32"/>
          <w:szCs w:val="32"/>
          <w:lang w:val="en-US" w:eastAsia="zh-CN"/>
        </w:rPr>
      </w:pPr>
    </w:p>
    <w:p>
      <w:pPr>
        <w:overflowPunct w:val="0"/>
        <w:spacing w:line="560" w:lineRule="exact"/>
        <w:ind w:firstLine="640" w:firstLineChars="200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附件：2026年苏州市幸福河湖建设任务清单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2026年苏州市幸福河湖建设任务清单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9"/>
        <w:tblW w:w="94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2"/>
        <w:gridCol w:w="4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  <w:t>区域</w:t>
            </w:r>
          </w:p>
        </w:tc>
        <w:tc>
          <w:tcPr>
            <w:tcW w:w="476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eastAsia="zh-CN"/>
              </w:rPr>
              <w:t>幸福河湖建设</w:t>
            </w:r>
            <w:r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  <w:t>数量</w:t>
            </w:r>
            <w:r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  <w:t>（条）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张家港市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常熟市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太仓市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昆山市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吴江区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吴中区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相城区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姑苏区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工业园区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虎丘区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472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4765" w:type="dxa"/>
            <w:vAlign w:val="center"/>
          </w:tcPr>
          <w:p>
            <w:pPr>
              <w:spacing w:beforeLines="0" w:afterLines="0"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300</w:t>
            </w:r>
          </w:p>
        </w:tc>
      </w:tr>
    </w:tbl>
    <w:p>
      <w:pPr>
        <w:overflowPunct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pacing w:line="560" w:lineRule="exact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7AEA67-AF6E-4084-B037-E17F9F87DE8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CB87952-290B-4E25-BFBC-05DA2A8ABCD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7559C6E-9C05-4349-AA78-B449EE57A25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3BC9DFB-9836-4CF0-86F9-468C3FF2D7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yZjg3MGU1ZDE0ZWU1MWMxNDIxZGFmODg2NzVhZWYifQ=="/>
  </w:docVars>
  <w:rsids>
    <w:rsidRoot w:val="39BC342B"/>
    <w:rsid w:val="018207C5"/>
    <w:rsid w:val="01DB7ED5"/>
    <w:rsid w:val="01DF1286"/>
    <w:rsid w:val="02296E92"/>
    <w:rsid w:val="02DC548F"/>
    <w:rsid w:val="02E2760F"/>
    <w:rsid w:val="031A2823"/>
    <w:rsid w:val="04D87772"/>
    <w:rsid w:val="08273270"/>
    <w:rsid w:val="085E0D3F"/>
    <w:rsid w:val="08884FA9"/>
    <w:rsid w:val="08C93486"/>
    <w:rsid w:val="08F051EE"/>
    <w:rsid w:val="08FD2730"/>
    <w:rsid w:val="09986D14"/>
    <w:rsid w:val="09F153FF"/>
    <w:rsid w:val="0B8336BE"/>
    <w:rsid w:val="0C816409"/>
    <w:rsid w:val="0CCA74C4"/>
    <w:rsid w:val="0FA236D3"/>
    <w:rsid w:val="0FC4644C"/>
    <w:rsid w:val="0FD62A0C"/>
    <w:rsid w:val="1064451D"/>
    <w:rsid w:val="11145E98"/>
    <w:rsid w:val="114E660B"/>
    <w:rsid w:val="11B62A13"/>
    <w:rsid w:val="12706417"/>
    <w:rsid w:val="130D494D"/>
    <w:rsid w:val="13457B7B"/>
    <w:rsid w:val="141627A3"/>
    <w:rsid w:val="152F6E95"/>
    <w:rsid w:val="15C47445"/>
    <w:rsid w:val="16473197"/>
    <w:rsid w:val="170B1C39"/>
    <w:rsid w:val="181C2C32"/>
    <w:rsid w:val="190F698A"/>
    <w:rsid w:val="1A1660F7"/>
    <w:rsid w:val="1A4E2770"/>
    <w:rsid w:val="1AF50588"/>
    <w:rsid w:val="1B2303F3"/>
    <w:rsid w:val="1BAF6202"/>
    <w:rsid w:val="1D185ADC"/>
    <w:rsid w:val="1E0E3379"/>
    <w:rsid w:val="1F132C50"/>
    <w:rsid w:val="1F522C94"/>
    <w:rsid w:val="21F71AC8"/>
    <w:rsid w:val="23377F8D"/>
    <w:rsid w:val="24106C02"/>
    <w:rsid w:val="24D80F2F"/>
    <w:rsid w:val="24DD39A8"/>
    <w:rsid w:val="250A71D2"/>
    <w:rsid w:val="260966CB"/>
    <w:rsid w:val="261C0837"/>
    <w:rsid w:val="272826BE"/>
    <w:rsid w:val="275A0AB9"/>
    <w:rsid w:val="27DF000A"/>
    <w:rsid w:val="28303C2C"/>
    <w:rsid w:val="283F0513"/>
    <w:rsid w:val="291A637D"/>
    <w:rsid w:val="293638BB"/>
    <w:rsid w:val="29652D2F"/>
    <w:rsid w:val="2A8E51B5"/>
    <w:rsid w:val="2AB40F49"/>
    <w:rsid w:val="2B5751A3"/>
    <w:rsid w:val="2B723F53"/>
    <w:rsid w:val="2C335A3F"/>
    <w:rsid w:val="2CA52B4B"/>
    <w:rsid w:val="2CB575D6"/>
    <w:rsid w:val="2D480262"/>
    <w:rsid w:val="2F5C1409"/>
    <w:rsid w:val="2FD71C09"/>
    <w:rsid w:val="32161AF3"/>
    <w:rsid w:val="32354F6B"/>
    <w:rsid w:val="33BE0C4C"/>
    <w:rsid w:val="33F80308"/>
    <w:rsid w:val="3410778F"/>
    <w:rsid w:val="355A2F26"/>
    <w:rsid w:val="355B54E0"/>
    <w:rsid w:val="35EA127F"/>
    <w:rsid w:val="35F935D6"/>
    <w:rsid w:val="36282AB6"/>
    <w:rsid w:val="36C609F2"/>
    <w:rsid w:val="36D207CE"/>
    <w:rsid w:val="376F7781"/>
    <w:rsid w:val="37AA0860"/>
    <w:rsid w:val="37FA18E4"/>
    <w:rsid w:val="385505E5"/>
    <w:rsid w:val="38553E76"/>
    <w:rsid w:val="38C50C40"/>
    <w:rsid w:val="395E77E6"/>
    <w:rsid w:val="39715D44"/>
    <w:rsid w:val="39AC79E8"/>
    <w:rsid w:val="39BC342B"/>
    <w:rsid w:val="3ABC5924"/>
    <w:rsid w:val="3C131844"/>
    <w:rsid w:val="3CC20641"/>
    <w:rsid w:val="3D1E0566"/>
    <w:rsid w:val="3D441EB5"/>
    <w:rsid w:val="3EAE50E9"/>
    <w:rsid w:val="3EC013D0"/>
    <w:rsid w:val="3F9A4869"/>
    <w:rsid w:val="3FE63663"/>
    <w:rsid w:val="3FE945E8"/>
    <w:rsid w:val="402E17E7"/>
    <w:rsid w:val="40606051"/>
    <w:rsid w:val="40EA57FA"/>
    <w:rsid w:val="42DE0FF8"/>
    <w:rsid w:val="43861CEA"/>
    <w:rsid w:val="43D931C1"/>
    <w:rsid w:val="440B13EE"/>
    <w:rsid w:val="4490400C"/>
    <w:rsid w:val="4643132F"/>
    <w:rsid w:val="484C7AE4"/>
    <w:rsid w:val="492F531F"/>
    <w:rsid w:val="4951041B"/>
    <w:rsid w:val="498B3AB8"/>
    <w:rsid w:val="49D97E23"/>
    <w:rsid w:val="4AE5116D"/>
    <w:rsid w:val="4B0A4FD7"/>
    <w:rsid w:val="4C610D1B"/>
    <w:rsid w:val="4CDB2915"/>
    <w:rsid w:val="4D0F1621"/>
    <w:rsid w:val="4FD7228A"/>
    <w:rsid w:val="51E43E2A"/>
    <w:rsid w:val="52E07C83"/>
    <w:rsid w:val="53B11E10"/>
    <w:rsid w:val="549D32DC"/>
    <w:rsid w:val="54F42614"/>
    <w:rsid w:val="55197D45"/>
    <w:rsid w:val="5609370D"/>
    <w:rsid w:val="570E71AB"/>
    <w:rsid w:val="57952A6D"/>
    <w:rsid w:val="57AE063A"/>
    <w:rsid w:val="596436D6"/>
    <w:rsid w:val="59DA6BF7"/>
    <w:rsid w:val="5A1D3C78"/>
    <w:rsid w:val="5B9465C1"/>
    <w:rsid w:val="5C9F00E9"/>
    <w:rsid w:val="5D1D209C"/>
    <w:rsid w:val="5D2406F3"/>
    <w:rsid w:val="5DF33CD1"/>
    <w:rsid w:val="5F4C4FEC"/>
    <w:rsid w:val="5F801E9B"/>
    <w:rsid w:val="5FBF655F"/>
    <w:rsid w:val="5FD501C7"/>
    <w:rsid w:val="6073353C"/>
    <w:rsid w:val="60BA368F"/>
    <w:rsid w:val="61320103"/>
    <w:rsid w:val="61361B89"/>
    <w:rsid w:val="6220166E"/>
    <w:rsid w:val="627250F0"/>
    <w:rsid w:val="634618F9"/>
    <w:rsid w:val="63C70AD3"/>
    <w:rsid w:val="64A85F96"/>
    <w:rsid w:val="65AD5A26"/>
    <w:rsid w:val="664408C2"/>
    <w:rsid w:val="66580011"/>
    <w:rsid w:val="66A84CFD"/>
    <w:rsid w:val="673B72B4"/>
    <w:rsid w:val="674C6704"/>
    <w:rsid w:val="68ED4F4F"/>
    <w:rsid w:val="68FF4B37"/>
    <w:rsid w:val="6919471C"/>
    <w:rsid w:val="6A0E3966"/>
    <w:rsid w:val="6ADE5DB0"/>
    <w:rsid w:val="6B213A4D"/>
    <w:rsid w:val="6C2F050B"/>
    <w:rsid w:val="6C9B343E"/>
    <w:rsid w:val="6DC96C03"/>
    <w:rsid w:val="6DE675C9"/>
    <w:rsid w:val="6E361438"/>
    <w:rsid w:val="6ED80625"/>
    <w:rsid w:val="6F217EE7"/>
    <w:rsid w:val="6F4A6596"/>
    <w:rsid w:val="70C9407F"/>
    <w:rsid w:val="71183556"/>
    <w:rsid w:val="717D06BD"/>
    <w:rsid w:val="73220D3A"/>
    <w:rsid w:val="755764E0"/>
    <w:rsid w:val="75643654"/>
    <w:rsid w:val="75F267CF"/>
    <w:rsid w:val="765D56FB"/>
    <w:rsid w:val="76B44B47"/>
    <w:rsid w:val="76CD0EBC"/>
    <w:rsid w:val="76D36F81"/>
    <w:rsid w:val="77094E3F"/>
    <w:rsid w:val="773E6630"/>
    <w:rsid w:val="77532D52"/>
    <w:rsid w:val="77C4430A"/>
    <w:rsid w:val="77DD0237"/>
    <w:rsid w:val="77EB3B5A"/>
    <w:rsid w:val="785D7A74"/>
    <w:rsid w:val="78B62999"/>
    <w:rsid w:val="78C209AA"/>
    <w:rsid w:val="791F0D44"/>
    <w:rsid w:val="79567C40"/>
    <w:rsid w:val="7A0920CA"/>
    <w:rsid w:val="7A2B002F"/>
    <w:rsid w:val="7A450B26"/>
    <w:rsid w:val="7D233EE1"/>
    <w:rsid w:val="7D607ABF"/>
    <w:rsid w:val="7E0B3EA3"/>
    <w:rsid w:val="7EF8227A"/>
    <w:rsid w:val="7FC8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pPr>
      <w:widowControl/>
      <w:kinsoku w:val="0"/>
      <w:overflowPunct w:val="0"/>
      <w:topLinePunct/>
      <w:adjustRightInd w:val="0"/>
      <w:snapToGrid w:val="0"/>
      <w:jc w:val="center"/>
      <w:textAlignment w:val="baseline"/>
    </w:pPr>
    <w:rPr>
      <w:rFonts w:ascii="方正小标宋简体" w:hAnsi="方正小标宋简体" w:eastAsia="方正小标宋简体" w:cs="仿宋_GB2312"/>
      <w:b/>
      <w:bCs/>
      <w:snapToGrid w:val="0"/>
      <w:color w:val="000000" w:themeColor="text1"/>
      <w:kern w:val="0"/>
      <w:sz w:val="52"/>
      <w:szCs w:val="52"/>
      <w14:textFill>
        <w14:solidFill>
          <w14:schemeClr w14:val="tx1"/>
        </w14:solidFill>
      </w14:textFill>
    </w:rPr>
  </w:style>
  <w:style w:type="paragraph" w:styleId="4">
    <w:name w:val="Date"/>
    <w:basedOn w:val="1"/>
    <w:next w:val="1"/>
    <w:qFormat/>
    <w:uiPriority w:val="99"/>
    <w:pPr>
      <w:ind w:left="2500" w:leftChars="2500"/>
    </w:pPr>
    <w:rPr>
      <w:rFonts w:eastAsia="仿宋_GB2312"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font0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style21"/>
    <w:basedOn w:val="10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14">
    <w:name w:val="font51"/>
    <w:basedOn w:val="10"/>
    <w:qFormat/>
    <w:uiPriority w:val="0"/>
    <w:rPr>
      <w:rFonts w:ascii="方正仿宋_GBK" w:hAnsi="方正仿宋_GBK" w:eastAsia="方正仿宋_GBK" w:cs="方正仿宋_GBK"/>
      <w:b/>
      <w:bCs/>
      <w:color w:val="000000"/>
      <w:sz w:val="28"/>
      <w:szCs w:val="28"/>
      <w:u w:val="none"/>
    </w:rPr>
  </w:style>
  <w:style w:type="character" w:customStyle="1" w:styleId="15">
    <w:name w:val="font41"/>
    <w:basedOn w:val="10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16">
    <w:name w:val="font3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61"/>
    <w:basedOn w:val="10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8">
    <w:name w:val="font8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9">
    <w:name w:val="font71"/>
    <w:basedOn w:val="1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font9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1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112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3">
    <w:name w:val="fontstyle01"/>
    <w:basedOn w:val="10"/>
    <w:qFormat/>
    <w:uiPriority w:val="0"/>
    <w:rPr>
      <w:rFonts w:hint="eastAsia" w:ascii="仿宋_GB2312" w:eastAsia="仿宋_GB2312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2726</Words>
  <Characters>2847</Characters>
  <Lines>0</Lines>
  <Paragraphs>0</Paragraphs>
  <TotalTime>18</TotalTime>
  <ScaleCrop>false</ScaleCrop>
  <LinksUpToDate>false</LinksUpToDate>
  <CharactersWithSpaces>2872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2025-02-10T05:34:00Z</dcterms:created>
  <dc:creator>WPS_1665631826</dc:creator>
  <cp:lastModifiedBy>白石</cp:lastModifiedBy>
  <cp:lastPrinted>2026-02-11T06:49:00Z</cp:lastPrinted>
  <dcterms:modified xsi:type="dcterms:W3CDTF">2026-03-11T02:21:09Z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CA65678B83B845C9993966853039D593_13</vt:lpwstr>
  </property>
  <property fmtid="{D5CDD505-2E9C-101B-9397-08002B2CF9AE}" pid="4" name="KSOTemplateDocerSaveRecord">
    <vt:lpwstr>eyJoZGlkIjoiZGQ3ZjBjNmE2ZjY1MmFlMDI4NzVmYThiODM0ZGIzMzkiLCJ1c2VySWQiOiIxMTY5OTU0NDcyIn0=</vt:lpwstr>
  </property>
</Properties>
</file>