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bookmarkStart w:id="0" w:name="_GoBack"/>
      <w:bookmarkEnd w:id="0"/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2025年苏州市全面深化河湖长制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改革工作要点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0"/>
          <w:lang w:val="en-US" w:eastAsia="zh-CN"/>
        </w:rPr>
        <w:t>2025年是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“十四五”规划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的收官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之年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是为“十五五”开局打下良好基础的关键之年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今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年，全面深化河湖长制改革工作的总体要求是：坚持以习近平生态文明思想为指导，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全面贯彻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落实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党的二十大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二十届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二中、三中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全会精神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，深入贯彻习近平总书记对江苏、苏州工作重要讲话精神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eastAsia="zh-CN"/>
        </w:rPr>
        <w:t>落实中央、省关于河长制工作部署要求，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一以贯之强化河湖长制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eastAsia="zh-CN"/>
        </w:rPr>
        <w:t>围绕水安全、水资源、水生态、水环境、水文化等要素，治水之害、用水之利、彰水之美，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全面推进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幸福河湖建设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努力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shd w:val="clear" w:color="auto" w:fill="FFFFFF"/>
          <w:lang w:eastAsia="zh-CN"/>
        </w:rPr>
        <w:t>河湖治理体系和治理能力现代化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中走在前、作示范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为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建设“人间天堂、福气苏州”提供良好的水环境底色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eastAsia="zh-CN"/>
        </w:rPr>
        <w:t>。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一以贯之河长领治，全面落实河湖长责任制度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1.抓好责任落实。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各级河长办立足平台职能强化统筹协调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、跟踪督导，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服务保障各级河湖长定期开展巡河调研，推动河长在发现问题、推进解决问题两个端口中发挥作用。制定省市重点河湖“三个清单”，明确年度目标任务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实行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河湖长动态调整和责任递补机制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，分级分类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开展</w:t>
      </w:r>
      <w:r>
        <w:rPr>
          <w:rFonts w:hint="default" w:ascii="Times New Roman" w:hAnsi="Times New Roman" w:eastAsia="仿宋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bidi="ar"/>
        </w:rPr>
        <w:t>基层河湖长和河长办人员培训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采取河长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制报告单、履职提醒函等形式，督促河长规范履职，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引导河湖长将更多精力放在治河护河抓落实上。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各职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能部门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</w:rPr>
        <w:t>按照分工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发挥专业优势，加大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</w:rPr>
        <w:t>工作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合力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责任单位：市河长办，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市发改委、市工信局、市财政局、市自然资源和规划局、市生态环境局、市住建局、市园林绿化局、市城管局、市交通运输局、市水务局、市农业农村局、市文广旅局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按各自职责分工负责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</w:p>
    <w:p>
      <w:pPr>
        <w:overflowPunct w:val="0"/>
        <w:spacing w:line="560" w:lineRule="exact"/>
        <w:ind w:firstLine="616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2.深化联合治理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巩固太湖淀山湖协作机制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  <w:t>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/>
        </w:rPr>
        <w:t>配合省河长办开展环太湖四市河长协作机制联合检查等活动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，加强长三角一体化示范区跨界水体共保联治。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实施“党建引领河长制 幸福河湖润民心”年度书记项目，持续推进环太湖机关党建圈行动。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修订联合河长制工作细则，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加强跨省、跨行政区域交界河湖治理管护，复制推广“河长联盟”载体模式，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健全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上下游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val="en-US" w:eastAsia="zh-CN"/>
        </w:rPr>
        <w:t>、左右岸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长效联动机制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  <w:lang w:eastAsia="zh-CN"/>
        </w:rPr>
        <w:t>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auto"/>
        </w:rPr>
        <w:t>多主体协同参与的“河湖长制+”机制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加强水葫芦联防联控，全力保障进博会外围水环境。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规范河长制公示牌设置，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拓宽公众监督渠道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，形成“人人皆河长”的行动自觉和良好氛围。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责任单位：市河长办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</w:p>
    <w:p>
      <w:pPr>
        <w:overflowPunct w:val="0"/>
        <w:spacing w:line="560" w:lineRule="exact"/>
        <w:ind w:firstLine="616" w:firstLineChars="200"/>
        <w:jc w:val="both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3.强化督导督办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充分利用好河湖长制统筹协调平台，完善督办激励机制，将河湖长履职情况、省市“三个清单”推进落实情况等纳入督办内容，更好发挥指挥棒作用。压紧压实河湖管理保护责任，加强涉河湖问题整改落实情况跟踪、调度和督办，对重大问题整改不力的，通过提醒函、约谈等方式推动整改，加强涉河湖重大问题调查与处置，</w:t>
      </w:r>
      <w:r>
        <w:rPr>
          <w:rFonts w:hint="default" w:ascii="Times New Roman" w:hAnsi="Times New Roman" w:eastAsia="仿宋_GB2312" w:cs="Times New Roman"/>
          <w:color w:val="auto"/>
          <w:position w:val="0"/>
          <w:sz w:val="32"/>
          <w:szCs w:val="32"/>
        </w:rPr>
        <w:t>建立健全问题发现一调查一整改一问责一处置全链条工作体系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责任单位：市河长办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二、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坚定不移治水攻坚，全面推进幸福河湖建设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0" w:right="0" w:rightChars="0"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4.全力打造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现代水网。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抓住“十五五”等规划编制窗口期，落实“三定一督”要求，加快推进吴淞江整治、太浦河后续（一期）、望虞河拓浚等重大水网工程。推进浏河枢纽、北福山塘泵站、白茆塘枢纽等沿江引排工程，提升洪涝外排和水资源调控能力。持续推进供水互联互通建设，强化饮用水水源地保护，形成“水源保护、原水互备、预警防控”的安全供水格局。开展苏州市防洪规划修编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</w:rPr>
        <w:t>完成苏州市现代水网建设规划修改和报批。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强化特大暴雨智慧决策和应对，加强基层应急处置能力建设，做好常态化防汛备汛，以塑造“韧性”城市应对“任性”天气。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市发改委、市财政局、市资规局、市住建局、市城管局、市交通局、市水务局按各自职责分工负责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5.持续深化水环境治理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大力开展绿色制造体系建设，做好“零碳”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“近零碳”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工厂培育和指导。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加快推进煤炭高效清洁利用，持续降低煤炭消费占比，2025年非电行业用煤比2020年下降5%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val="en-US" w:eastAsia="zh-CN" w:bidi="ar"/>
        </w:rPr>
        <w:t>优化水质监测断面设置，建成水质监测网络一盘棋。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加强工业园区水污染防治，完成长江、太湖流域入河排污口整治销号，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</w:rPr>
        <w:t>国省考断面优Ⅲ比例完成省定目标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。聚焦重点湖泊水质全面达Ⅲ目标，开展湖泊内源污染和藻类影响分析。推进“水运江苏”建设，实施江南运河、太浦河航道整治工程，加强船舶水污染防治，开展船舶水污染物“船港城”协同治理。结合高标准农田建设，有序推进重点区域农田排灌系统生态化改造试点，实行池塘养殖尾水排放、清塘污泥登记备案制度。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完成已治理劣V类水体全面销号，持续做好“除黑消劣”动态清零。</w:t>
      </w:r>
      <w:r>
        <w:rPr>
          <w:rFonts w:hint="default" w:ascii="Times New Roman" w:hAnsi="Times New Roman" w:eastAsia="仿宋_GB2312" w:cs="Times New Roman"/>
          <w:bCs/>
          <w:color w:val="auto"/>
          <w:kern w:val="2"/>
          <w:sz w:val="32"/>
          <w:szCs w:val="32"/>
          <w:highlight w:val="none"/>
          <w:shd w:val="clear" w:color="auto" w:fill="FFFFFF"/>
          <w:lang w:eastAsia="zh-CN" w:bidi="ar-SA"/>
        </w:rPr>
        <w:t>加快环境基础设施建设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，推进污水处理厂“一厂一策”整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改提升，新增城镇生活污水处理能力4万吨/日，新建和更新改造污水管网97公里，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城市生活污水集中收集处理率达到88%以上。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市发改委、市工信局、市生态环境局、市交通局、市水务局、市农业农村局按各自职责分工负责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</w:p>
    <w:p>
      <w:pPr>
        <w:overflowPunct/>
        <w:spacing w:line="560" w:lineRule="exact"/>
        <w:ind w:firstLine="616" w:firstLineChars="200"/>
        <w:jc w:val="both"/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6.加快推进水生态复苏。</w:t>
      </w:r>
      <w:r>
        <w:rPr>
          <w:rStyle w:val="12"/>
          <w:rFonts w:hint="default" w:ascii="Times New Roman" w:hAnsi="Times New Roman" w:eastAsia="仿宋_GB2312" w:cs="Times New Roman"/>
          <w:color w:val="auto"/>
          <w:lang w:eastAsia="zh-CN"/>
        </w:rPr>
        <w:t>紧抓长江大保护、太湖综合治理、运河保护和示范区“一河三湖”共保联治，提升重点河湖蓝藻防控水平。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加强张家港河、太子圩港闸、二干河、浏河等通江河道治理力度，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shd w:val="clear" w:color="auto" w:fill="FFFFFF"/>
        </w:rPr>
        <w:t>长江干流国省考断面年均水质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shd w:val="clear" w:color="auto" w:fill="FFFFFF"/>
          <w:lang w:val="en-US" w:eastAsia="zh-CN"/>
        </w:rPr>
        <w:t>全部保持</w:t>
      </w:r>
      <w:r>
        <w:rPr>
          <w:rFonts w:hint="default" w:ascii="Times New Roman" w:hAnsi="Times New Roman" w:eastAsia="宋体" w:cs="Times New Roman"/>
          <w:color w:val="auto"/>
          <w:spacing w:val="-6"/>
          <w:sz w:val="32"/>
          <w:szCs w:val="32"/>
          <w:shd w:val="clear" w:color="auto" w:fill="FFFFFF"/>
        </w:rPr>
        <w:t>Ⅱ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shd w:val="clear" w:color="auto" w:fill="FFFFFF"/>
        </w:rPr>
        <w:t>类，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shd w:val="clear" w:color="auto" w:fill="FFFFFF"/>
          <w:lang w:val="en-US" w:eastAsia="zh-CN"/>
        </w:rPr>
        <w:t>主要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shd w:val="clear" w:color="auto" w:fill="FFFFFF"/>
        </w:rPr>
        <w:t>通江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shd w:val="clear" w:color="auto" w:fill="FFFFFF"/>
          <w:lang w:val="en-US" w:eastAsia="zh-CN"/>
        </w:rPr>
        <w:t>支流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shd w:val="clear" w:color="auto" w:fill="FFFFFF"/>
        </w:rPr>
        <w:t>断面年均水质全部达到</w:t>
      </w:r>
      <w:r>
        <w:rPr>
          <w:rFonts w:hint="default" w:ascii="Times New Roman" w:hAnsi="Times New Roman" w:eastAsia="宋体" w:cs="Times New Roman"/>
          <w:color w:val="auto"/>
          <w:spacing w:val="-6"/>
          <w:sz w:val="32"/>
          <w:szCs w:val="32"/>
          <w:shd w:val="clear" w:color="auto" w:fill="FFFFFF"/>
        </w:rPr>
        <w:t>Ⅲ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shd w:val="clear" w:color="auto" w:fill="FFFFFF"/>
        </w:rPr>
        <w:t>类</w:t>
      </w:r>
      <w:r>
        <w:rPr>
          <w:rFonts w:hint="default" w:ascii="Times New Roman" w:hAnsi="Times New Roman" w:eastAsia="仿宋_GB2312" w:cs="Times New Roman"/>
          <w:color w:val="auto"/>
          <w:spacing w:val="-6"/>
          <w:sz w:val="32"/>
          <w:szCs w:val="32"/>
          <w:shd w:val="clear" w:color="auto" w:fill="FFFFFF"/>
          <w:lang w:val="en-US" w:eastAsia="zh-CN"/>
        </w:rPr>
        <w:t>及以上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扎实推进新一轮太湖综合治理，太湖湖心区、东部湖区水质稳定达到Ⅲ类，主要入湖河流及上游关联骨干河流水质达标。开展望虞河沿线支浜污染治理，建设生态河道3条，年内完成太湖清淤总量22万方，</w:t>
      </w:r>
      <w:r>
        <w:rPr>
          <w:rFonts w:hint="default" w:ascii="Times New Roman" w:hAnsi="Times New Roman" w:eastAsia="仿宋_GB2312" w:cs="Times New Roman"/>
          <w:b w:val="0"/>
          <w:bCs/>
          <w:snapToGrid/>
          <w:color w:val="auto"/>
          <w:kern w:val="2"/>
          <w:sz w:val="32"/>
          <w:szCs w:val="32"/>
          <w:lang w:eastAsia="zh-CN" w:bidi="ar"/>
        </w:rPr>
        <w:t>高效推进太湖（苏州辖区）清淤方案落地实施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，减少内源释放。加强阳澄湖、澄湖、昆承湖等重点湖库综合治理与水华防控，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力争淀山湖、元荡水质创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Ⅲ类。全面推进幸福河湖建设，新建幸福河湖240条，实现建成区幸福河湖全覆盖，争创省级亮点标杆。编制新一轮幸福河湖实施方案（2025-2030年）和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  <w:t>幸福河湖评估工作实施指引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，全面推进幸福河湖建设，指导开展</w:t>
      </w:r>
      <w:r>
        <w:rPr>
          <w:rFonts w:hint="default" w:ascii="Times New Roman" w:hAnsi="Times New Roman" w:eastAsia="仿宋_GB2312" w:cs="Times New Roman"/>
          <w:snapToGrid w:val="0"/>
          <w:color w:val="auto"/>
          <w:kern w:val="0"/>
          <w:sz w:val="32"/>
          <w:szCs w:val="32"/>
          <w:lang w:val="en-US" w:eastAsia="zh-CN"/>
        </w:rPr>
        <w:t>市级幸福河湖评估工作。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spacing w:val="0"/>
          <w:kern w:val="2"/>
          <w:sz w:val="32"/>
          <w:szCs w:val="32"/>
          <w:lang w:val="en-US" w:eastAsia="zh-CN" w:bidi="ar"/>
        </w:rPr>
        <w:t>落实民生实事项目，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治理农村骨干河道27.2公里，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lang w:val="en-US" w:eastAsia="zh-CN"/>
        </w:rPr>
        <w:t>建设农村生态河道200公里，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创建9个以上省级清洁小流域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pacing w:val="0"/>
          <w:kern w:val="0"/>
          <w:sz w:val="32"/>
          <w:szCs w:val="32"/>
          <w:highlight w:val="none"/>
          <w:lang w:val="en-US" w:eastAsia="zh-CN" w:bidi="ar-SA"/>
        </w:rPr>
        <w:t>完成造林绿化不低于6500亩，其中新增造林绿化不低于1200亩。推进“生态岛”试验区、东太湖省级“山水工程”建设，胥江建成省级美丽河湖。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市河长办、市发改委、市资规局、市生态环境局、市园林局、市水务局、市农业农村局按各自职责分工负责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</w:p>
    <w:p>
      <w:pPr>
        <w:overflowPunct w:val="0"/>
        <w:spacing w:line="560" w:lineRule="exact"/>
        <w:ind w:firstLine="616" w:firstLineChars="200"/>
        <w:jc w:val="both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7.加强水域岸线管控。</w:t>
      </w:r>
      <w:r>
        <w:rPr>
          <w:rFonts w:hint="default" w:ascii="Times New Roman" w:hAnsi="Times New Roman" w:eastAsia="仿宋_GB2312" w:cs="Times New Roman"/>
          <w:b w:val="0"/>
          <w:color w:val="auto"/>
          <w:spacing w:val="-6"/>
          <w:kern w:val="0"/>
          <w:sz w:val="32"/>
          <w:szCs w:val="32"/>
          <w:highlight w:val="none"/>
          <w:shd w:val="clear" w:fill="FFFFFF"/>
          <w:lang w:eastAsia="zh-CN" w:bidi="ar"/>
        </w:rPr>
        <w:t>发布苏州市市级河道管理名录，加强涉河项目全过程监管，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完善涉河审批全程网办，推进审批标准化规范化。推进重点水域岸线空间监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测，探索建立全市水域变化动态感知机制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。持续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开展阻水片林等碍洪问题排查，加强河湖沿线违法建设和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</w:rPr>
        <w:t>建筑垃圾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治理，推进河湖“清四乱”常态化规范化。推进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三山岛国家湿地公园、太湖喇叭口排泥场违法问题整治，加快推进东太湖退圩还湖工程，</w:t>
      </w:r>
      <w:r>
        <w:rPr>
          <w:rFonts w:hint="default" w:ascii="Times New Roman" w:hAnsi="Times New Roman" w:eastAsia="仿宋_GB2312" w:cs="Times New Roman"/>
          <w:b w:val="0"/>
          <w:bCs/>
          <w:color w:val="auto"/>
          <w:kern w:val="2"/>
          <w:sz w:val="32"/>
          <w:szCs w:val="32"/>
          <w:lang w:val="en-US" w:eastAsia="zh-CN" w:bidi="ar"/>
        </w:rPr>
        <w:t>完成国家环保督察整改要求。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市资规局、市住建局、市园林局、市城管局、市水务局、市农业农村局按各自职责分工负责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</w:p>
    <w:p>
      <w:pPr>
        <w:overflowPunct w:val="0"/>
        <w:spacing w:line="560" w:lineRule="exact"/>
        <w:ind w:firstLine="616" w:firstLineChars="200"/>
        <w:jc w:val="both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8.强化水资源集约节约利用。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调轻产业结构调优用水结构，稳步推进水资源费改税和水权交易，更加合理配置水资源。制定发布《苏州市水效提升项目管理规范》，开展新一轮市级用水定额修编。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完成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张家港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再生水配置利用试点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建设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加快推进桑田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 w:bidi="ar-SA"/>
        </w:rPr>
        <w:t>岛片区再生水综合利用项目建设。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eastAsia="zh-CN" w:bidi="ar"/>
        </w:rPr>
        <w:t>202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 w:bidi="ar"/>
        </w:rPr>
        <w:t>5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eastAsia="zh-CN" w:bidi="ar"/>
        </w:rPr>
        <w:t>年，万元GDP用水量较2020年下降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val="en-US" w:eastAsia="zh-CN" w:bidi="ar"/>
        </w:rPr>
        <w:t>19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highlight w:val="none"/>
          <w:shd w:val="clear" w:color="auto" w:fill="auto"/>
          <w:lang w:eastAsia="zh-CN" w:bidi="ar"/>
        </w:rPr>
        <w:t>%，城市再生水利用率达到30%以上，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农田灌溉水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eastAsia="zh-CN" w:bidi="ar"/>
        </w:rPr>
        <w:t>有效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highlight w:val="none"/>
          <w:lang w:bidi="ar"/>
        </w:rPr>
        <w:t>利用系数达到0.69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0"/>
          <w:sz w:val="32"/>
          <w:szCs w:val="32"/>
          <w:highlight w:val="none"/>
          <w:shd w:val="clear" w:color="auto" w:fill="auto"/>
          <w:lang w:eastAsia="zh-CN" w:bidi="ar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市水务局、市农业农村局按各自职责分工负责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）</w:t>
      </w:r>
    </w:p>
    <w:p>
      <w:pPr>
        <w:pStyle w:val="7"/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 w:rightChars="0" w:firstLine="640" w:firstLineChars="200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三、</w:t>
      </w:r>
      <w:r>
        <w:rPr>
          <w:rFonts w:hint="default" w:ascii="Times New Roman" w:hAnsi="Times New Roman" w:eastAsia="黑体" w:cs="Times New Roman"/>
          <w:i w:val="0"/>
          <w:iCs w:val="0"/>
          <w:caps w:val="0"/>
          <w:color w:val="auto"/>
          <w:spacing w:val="-6"/>
          <w:sz w:val="32"/>
          <w:szCs w:val="32"/>
          <w:highlight w:val="none"/>
          <w:shd w:val="clear" w:fill="FFFFFF"/>
          <w:lang w:val="en-US" w:eastAsia="zh-CN"/>
        </w:rPr>
        <w:t>全力以赴改革创新，持续维护河湖生命健康</w:t>
      </w:r>
    </w:p>
    <w:p>
      <w:pPr>
        <w:overflowPunct w:val="0"/>
        <w:spacing w:line="560" w:lineRule="exact"/>
        <w:ind w:firstLine="616" w:firstLineChars="200"/>
        <w:jc w:val="left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9.注重水生态价值转化。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推进河湖水文化建设，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发掘河湖与水工程文化内涵，传承吴文化精髓，加强水文化教育与传播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加大苏州水上旅游、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太湖游轮、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水上运动推广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力度，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打响“东方水城”城市品牌。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以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长江、大运河国家文化公园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为载体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，开发具有水乡特色的文博旅行路线、旅游产品，推出以农耕渔歌、江南风物、太湖境象等为主题的精品陈列和沉浸式体验活动。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eastAsia="zh-CN"/>
        </w:rPr>
        <w:t>绘制水文旅地图和打卡指南，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深挖水经济富民价值，让群众共享“建设幸福河湖”成果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市河长办、市水务局、市文广旅局按各自职责分工负责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</w:p>
    <w:p>
      <w:pPr>
        <w:overflowPunct w:val="0"/>
        <w:spacing w:line="560" w:lineRule="exact"/>
        <w:ind w:firstLine="640" w:firstLineChars="2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/>
        </w:rPr>
        <w:t>10.</w:t>
      </w: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推进人工智能业务应用。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kern w:val="2"/>
          <w:sz w:val="32"/>
          <w:szCs w:val="32"/>
          <w:highlight w:val="none"/>
          <w:shd w:val="clear" w:fill="auto"/>
          <w:lang w:val="en-US" w:eastAsia="zh-CN" w:bidi="ar-SA"/>
        </w:rPr>
        <w:t>抢抓人工智能发展机遇，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聚焦水安全保障、水资源管理、水环境治理等重点领域，积极拓展人工智能技术应用场景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 w:bidi="ar-SA"/>
        </w:rPr>
        <w:t>。建设“重点河湖云管家V2.0”和水质监管云平台二期项目，打破部门、区域数据壁垒，实现全方位可感、可知、可控。深化“智水苏州”平台建设，加强防汛排涝、供排水管理、涉河项目监管等“小、巧、灵”案例应用，提高防洪、供水、生态等综合调度管理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河湖治理智慧决策水平。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市生态环境局、市水务局按各自职责分工负责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pacing w:line="560" w:lineRule="exact"/>
        <w:ind w:firstLine="616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楷体_GB2312" w:cs="Times New Roman"/>
          <w:i w:val="0"/>
          <w:iCs w:val="0"/>
          <w:caps w:val="0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11.</w:t>
      </w:r>
      <w:r>
        <w:rPr>
          <w:rFonts w:hint="default" w:ascii="Times New Roman" w:hAnsi="Times New Roman" w:eastAsia="楷体_GB2312" w:cs="Times New Roman"/>
          <w:color w:val="auto"/>
          <w:spacing w:val="-6"/>
          <w:kern w:val="0"/>
          <w:sz w:val="32"/>
          <w:szCs w:val="32"/>
          <w:highlight w:val="none"/>
          <w:shd w:val="clear" w:fill="FFFFFF"/>
          <w:lang w:val="en-US" w:eastAsia="zh-CN" w:bidi="ar"/>
        </w:rPr>
        <w:t>全力争取要素支持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。抢抓国家政策窗口期，强化吴淞江整治工程、太浦河后续（一期）工程、浏河枢纽等河湖治理重大项目对上争取。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用好用足“两重”“两新”国家政策，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积极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争取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国家级幸福河湖、美丽河湖试点项目，充分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/>
        </w:rPr>
        <w:t>发挥市级“消劣争优”奖补资金使用效益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  <w:t>结合国家所需、苏州所能，技术行政双轮驱动，全面梳理项目清单，构建“近期可实施，长期有储备，定期可滚动，随时可申报”的分类分级分领域项目储备库。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仿宋_GB2312" w:cs="Times New Roman"/>
          <w:bCs/>
          <w:color w:val="auto"/>
          <w:spacing w:val="-4"/>
          <w:sz w:val="32"/>
          <w:szCs w:val="32"/>
          <w:highlight w:val="none"/>
          <w:lang w:val="en-US" w:eastAsia="zh-CN"/>
        </w:rPr>
        <w:t>市发改委、市财政局、市生态环境局、市水务局按各自职责分工负责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（以上所有任务实施单位均为各县级市（区）人民政府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、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苏州工业园区管委会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）</w:t>
      </w:r>
    </w:p>
    <w:p>
      <w:pPr>
        <w:keepNext w:val="0"/>
        <w:keepLines w:val="0"/>
        <w:pageBreakBefore w:val="0"/>
        <w:widowControl/>
        <w:kinsoku/>
        <w:wordWrap/>
        <w:overflowPunct w:val="0"/>
        <w:topLinePunct w:val="0"/>
        <w:autoSpaceDE/>
        <w:autoSpaceDN/>
        <w:bidi w:val="0"/>
        <w:adjustRightInd/>
        <w:spacing w:line="560" w:lineRule="exact"/>
        <w:ind w:firstLine="0" w:firstLineChars="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lang w:val="en-US" w:eastAsia="zh-CN" w:bidi="ar-SA"/>
        </w:rPr>
      </w:pPr>
    </w:p>
    <w:sectPr>
      <w:footerReference r:id="rId3" w:type="default"/>
      <w:pgSz w:w="11906" w:h="16838"/>
      <w:pgMar w:top="1417" w:right="1803" w:bottom="1417" w:left="1803" w:header="851" w:footer="992" w:gutter="0"/>
      <w:pgNumType w:fmt="numberInDash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8762F29-CD63-4044-B9AF-91DEAE6CC46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A949860F-118E-4CD5-91A0-09B5CE4BA11C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730396D-C667-4A94-8498-DCA0F992BEAC}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F3321E0C-3A78-402E-AED4-802154D105E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yZjg3MGU1ZDE0ZWU1MWMxNDIxZGFmODg2NzVhZWYifQ=="/>
  </w:docVars>
  <w:rsids>
    <w:rsidRoot w:val="39BC342B"/>
    <w:rsid w:val="018207C5"/>
    <w:rsid w:val="01DB7ED5"/>
    <w:rsid w:val="01DF1286"/>
    <w:rsid w:val="02296E92"/>
    <w:rsid w:val="02DC548F"/>
    <w:rsid w:val="02E2760F"/>
    <w:rsid w:val="03066A79"/>
    <w:rsid w:val="031A2823"/>
    <w:rsid w:val="032B4735"/>
    <w:rsid w:val="04D87772"/>
    <w:rsid w:val="05CA7D8F"/>
    <w:rsid w:val="08273270"/>
    <w:rsid w:val="08597DA5"/>
    <w:rsid w:val="085E0D3F"/>
    <w:rsid w:val="08884FA9"/>
    <w:rsid w:val="08934B1E"/>
    <w:rsid w:val="08C93486"/>
    <w:rsid w:val="08F051EE"/>
    <w:rsid w:val="08FD2730"/>
    <w:rsid w:val="09402A1F"/>
    <w:rsid w:val="094A20CE"/>
    <w:rsid w:val="09986D14"/>
    <w:rsid w:val="09FA72D0"/>
    <w:rsid w:val="0A745034"/>
    <w:rsid w:val="0AA52477"/>
    <w:rsid w:val="0B506FA0"/>
    <w:rsid w:val="0B8336BE"/>
    <w:rsid w:val="0C542D5E"/>
    <w:rsid w:val="0C816409"/>
    <w:rsid w:val="0CCA74C4"/>
    <w:rsid w:val="0FA236D3"/>
    <w:rsid w:val="0FC4644C"/>
    <w:rsid w:val="0FD62A0C"/>
    <w:rsid w:val="1064451D"/>
    <w:rsid w:val="11145E98"/>
    <w:rsid w:val="113066C1"/>
    <w:rsid w:val="114E660B"/>
    <w:rsid w:val="11566901"/>
    <w:rsid w:val="11B62A13"/>
    <w:rsid w:val="12706417"/>
    <w:rsid w:val="130D494D"/>
    <w:rsid w:val="132135EE"/>
    <w:rsid w:val="13457B7B"/>
    <w:rsid w:val="141627A3"/>
    <w:rsid w:val="152F6E95"/>
    <w:rsid w:val="15C47445"/>
    <w:rsid w:val="15EF7F09"/>
    <w:rsid w:val="163662D9"/>
    <w:rsid w:val="16473197"/>
    <w:rsid w:val="170B1C39"/>
    <w:rsid w:val="180F3786"/>
    <w:rsid w:val="190F698A"/>
    <w:rsid w:val="196D2C99"/>
    <w:rsid w:val="1986206E"/>
    <w:rsid w:val="19B2594B"/>
    <w:rsid w:val="1A4E2770"/>
    <w:rsid w:val="1AC6003F"/>
    <w:rsid w:val="1B2303F3"/>
    <w:rsid w:val="1BAF6202"/>
    <w:rsid w:val="1BB15E7B"/>
    <w:rsid w:val="1C1A25AA"/>
    <w:rsid w:val="1D1318BE"/>
    <w:rsid w:val="1D185ADC"/>
    <w:rsid w:val="1D954D97"/>
    <w:rsid w:val="1DCB145F"/>
    <w:rsid w:val="1DEC1F22"/>
    <w:rsid w:val="1E0E3379"/>
    <w:rsid w:val="1E703800"/>
    <w:rsid w:val="1ED81F2B"/>
    <w:rsid w:val="1F132C50"/>
    <w:rsid w:val="1F522C94"/>
    <w:rsid w:val="1FD665CB"/>
    <w:rsid w:val="20F35A9E"/>
    <w:rsid w:val="21F71AC8"/>
    <w:rsid w:val="22C91E20"/>
    <w:rsid w:val="23377F8D"/>
    <w:rsid w:val="24106C02"/>
    <w:rsid w:val="24D80F2F"/>
    <w:rsid w:val="24DD39A8"/>
    <w:rsid w:val="25E023B3"/>
    <w:rsid w:val="260966CB"/>
    <w:rsid w:val="261C0837"/>
    <w:rsid w:val="270A0B9B"/>
    <w:rsid w:val="27DF000A"/>
    <w:rsid w:val="28303C2C"/>
    <w:rsid w:val="283F0513"/>
    <w:rsid w:val="28924139"/>
    <w:rsid w:val="29193E2B"/>
    <w:rsid w:val="291A637D"/>
    <w:rsid w:val="293638BB"/>
    <w:rsid w:val="29522690"/>
    <w:rsid w:val="299C0A4E"/>
    <w:rsid w:val="2A0F7B8F"/>
    <w:rsid w:val="2A8E51B5"/>
    <w:rsid w:val="2B5751A3"/>
    <w:rsid w:val="2B723F53"/>
    <w:rsid w:val="2BEA17B7"/>
    <w:rsid w:val="2C335A3F"/>
    <w:rsid w:val="2CB575D6"/>
    <w:rsid w:val="2D782EED"/>
    <w:rsid w:val="2F3E6592"/>
    <w:rsid w:val="2F5C1409"/>
    <w:rsid w:val="2FD71C09"/>
    <w:rsid w:val="2FD858D0"/>
    <w:rsid w:val="32161AF3"/>
    <w:rsid w:val="32354F6B"/>
    <w:rsid w:val="32C801B6"/>
    <w:rsid w:val="33844297"/>
    <w:rsid w:val="33BE0C4C"/>
    <w:rsid w:val="33F80308"/>
    <w:rsid w:val="3410778F"/>
    <w:rsid w:val="353942DE"/>
    <w:rsid w:val="355A2F26"/>
    <w:rsid w:val="355B54E0"/>
    <w:rsid w:val="35EA127F"/>
    <w:rsid w:val="35F935D6"/>
    <w:rsid w:val="36282AB6"/>
    <w:rsid w:val="36A03948"/>
    <w:rsid w:val="36C609F2"/>
    <w:rsid w:val="36D207CE"/>
    <w:rsid w:val="376F7781"/>
    <w:rsid w:val="37AA0860"/>
    <w:rsid w:val="385505E5"/>
    <w:rsid w:val="38C50C40"/>
    <w:rsid w:val="38FC134D"/>
    <w:rsid w:val="39AC79E8"/>
    <w:rsid w:val="39BC342B"/>
    <w:rsid w:val="39D85910"/>
    <w:rsid w:val="3ABC5924"/>
    <w:rsid w:val="3B901CD0"/>
    <w:rsid w:val="3BFD3672"/>
    <w:rsid w:val="3C131844"/>
    <w:rsid w:val="3CC20641"/>
    <w:rsid w:val="3D1E0566"/>
    <w:rsid w:val="3D441EB5"/>
    <w:rsid w:val="3EAE50E9"/>
    <w:rsid w:val="3F9A4869"/>
    <w:rsid w:val="3FE63663"/>
    <w:rsid w:val="3FE945E8"/>
    <w:rsid w:val="402E17E7"/>
    <w:rsid w:val="402E5098"/>
    <w:rsid w:val="405D45A6"/>
    <w:rsid w:val="40EA57FA"/>
    <w:rsid w:val="41A36E3C"/>
    <w:rsid w:val="42DE0FF8"/>
    <w:rsid w:val="4320516C"/>
    <w:rsid w:val="43861CEA"/>
    <w:rsid w:val="440B13EE"/>
    <w:rsid w:val="44880948"/>
    <w:rsid w:val="4490400C"/>
    <w:rsid w:val="46117980"/>
    <w:rsid w:val="4643132F"/>
    <w:rsid w:val="465D66D7"/>
    <w:rsid w:val="46FC6684"/>
    <w:rsid w:val="47645658"/>
    <w:rsid w:val="48102F98"/>
    <w:rsid w:val="484C7AE4"/>
    <w:rsid w:val="492F531F"/>
    <w:rsid w:val="4951041B"/>
    <w:rsid w:val="498B3AB8"/>
    <w:rsid w:val="49D97E23"/>
    <w:rsid w:val="4A177A56"/>
    <w:rsid w:val="4AE5116D"/>
    <w:rsid w:val="4B8C2BFF"/>
    <w:rsid w:val="4C0A0FEF"/>
    <w:rsid w:val="4C610D1B"/>
    <w:rsid w:val="4CA14949"/>
    <w:rsid w:val="4D0B5147"/>
    <w:rsid w:val="4D0F1621"/>
    <w:rsid w:val="4D3032B0"/>
    <w:rsid w:val="4D420FCC"/>
    <w:rsid w:val="4ECA0E53"/>
    <w:rsid w:val="51CC6EC2"/>
    <w:rsid w:val="51E43E2A"/>
    <w:rsid w:val="52424902"/>
    <w:rsid w:val="52E07C83"/>
    <w:rsid w:val="539E4BBE"/>
    <w:rsid w:val="53B11E10"/>
    <w:rsid w:val="541A1F8A"/>
    <w:rsid w:val="549D32DC"/>
    <w:rsid w:val="54BA2BDF"/>
    <w:rsid w:val="54F42614"/>
    <w:rsid w:val="55197D45"/>
    <w:rsid w:val="5609370D"/>
    <w:rsid w:val="569D4227"/>
    <w:rsid w:val="570E71AB"/>
    <w:rsid w:val="57AE063A"/>
    <w:rsid w:val="596436D6"/>
    <w:rsid w:val="59DA6BF7"/>
    <w:rsid w:val="5A022EA4"/>
    <w:rsid w:val="5A1D3C78"/>
    <w:rsid w:val="5C9522F3"/>
    <w:rsid w:val="5C9F00E9"/>
    <w:rsid w:val="5D1D209C"/>
    <w:rsid w:val="5D2406F3"/>
    <w:rsid w:val="5DF33CD1"/>
    <w:rsid w:val="5F4C4FEC"/>
    <w:rsid w:val="5F801E9B"/>
    <w:rsid w:val="5FBF655F"/>
    <w:rsid w:val="5FD501C7"/>
    <w:rsid w:val="60674A02"/>
    <w:rsid w:val="60BA368F"/>
    <w:rsid w:val="61320103"/>
    <w:rsid w:val="61361B89"/>
    <w:rsid w:val="61DD0BEF"/>
    <w:rsid w:val="6220166E"/>
    <w:rsid w:val="62CE190E"/>
    <w:rsid w:val="634618F9"/>
    <w:rsid w:val="63C70AD3"/>
    <w:rsid w:val="63E87A7B"/>
    <w:rsid w:val="64A85F96"/>
    <w:rsid w:val="65AD5A26"/>
    <w:rsid w:val="65BA5074"/>
    <w:rsid w:val="65D8147F"/>
    <w:rsid w:val="664408C2"/>
    <w:rsid w:val="66580011"/>
    <w:rsid w:val="66A84CFD"/>
    <w:rsid w:val="673B72B4"/>
    <w:rsid w:val="674C6704"/>
    <w:rsid w:val="68490BA5"/>
    <w:rsid w:val="68ED4F4F"/>
    <w:rsid w:val="68FF4B37"/>
    <w:rsid w:val="6A0E3966"/>
    <w:rsid w:val="6C2F050B"/>
    <w:rsid w:val="6C9B343E"/>
    <w:rsid w:val="6CAA5C57"/>
    <w:rsid w:val="6D9126D1"/>
    <w:rsid w:val="6DC96C03"/>
    <w:rsid w:val="6DE675C9"/>
    <w:rsid w:val="6E361438"/>
    <w:rsid w:val="6ED80625"/>
    <w:rsid w:val="6F217EE7"/>
    <w:rsid w:val="6F4A6596"/>
    <w:rsid w:val="705526F0"/>
    <w:rsid w:val="71121697"/>
    <w:rsid w:val="71183556"/>
    <w:rsid w:val="717D06BD"/>
    <w:rsid w:val="73220D3A"/>
    <w:rsid w:val="742B5E2F"/>
    <w:rsid w:val="74D7060F"/>
    <w:rsid w:val="7504000A"/>
    <w:rsid w:val="755764E0"/>
    <w:rsid w:val="75643654"/>
    <w:rsid w:val="75F267CF"/>
    <w:rsid w:val="764C3824"/>
    <w:rsid w:val="765D56FB"/>
    <w:rsid w:val="76CD0EBC"/>
    <w:rsid w:val="77094E3F"/>
    <w:rsid w:val="773E6630"/>
    <w:rsid w:val="77532D52"/>
    <w:rsid w:val="77C4430A"/>
    <w:rsid w:val="77DD0237"/>
    <w:rsid w:val="77EB3B5A"/>
    <w:rsid w:val="785D7A74"/>
    <w:rsid w:val="78B62999"/>
    <w:rsid w:val="78C209AA"/>
    <w:rsid w:val="78D06663"/>
    <w:rsid w:val="791F0D44"/>
    <w:rsid w:val="795D6C4F"/>
    <w:rsid w:val="798B7149"/>
    <w:rsid w:val="7A0920CA"/>
    <w:rsid w:val="7A2B002F"/>
    <w:rsid w:val="7A450B26"/>
    <w:rsid w:val="7AFB0655"/>
    <w:rsid w:val="7B253A17"/>
    <w:rsid w:val="7D607ABF"/>
    <w:rsid w:val="7DC97F86"/>
    <w:rsid w:val="7E0B3EA3"/>
    <w:rsid w:val="7FCF0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99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pPr>
      <w:widowControl/>
      <w:kinsoku w:val="0"/>
      <w:overflowPunct w:val="0"/>
      <w:topLinePunct/>
      <w:adjustRightInd w:val="0"/>
      <w:snapToGrid w:val="0"/>
      <w:jc w:val="center"/>
      <w:textAlignment w:val="baseline"/>
    </w:pPr>
    <w:rPr>
      <w:rFonts w:ascii="方正小标宋简体" w:hAnsi="方正小标宋简体" w:eastAsia="方正小标宋简体" w:cs="仿宋_GB2312"/>
      <w:b/>
      <w:bCs/>
      <w:snapToGrid w:val="0"/>
      <w:color w:val="000000" w:themeColor="text1"/>
      <w:kern w:val="0"/>
      <w:sz w:val="52"/>
      <w:szCs w:val="52"/>
      <w14:textFill>
        <w14:solidFill>
          <w14:schemeClr w14:val="tx1"/>
        </w14:solidFill>
      </w14:textFill>
    </w:rPr>
  </w:style>
  <w:style w:type="paragraph" w:styleId="4">
    <w:name w:val="Date"/>
    <w:basedOn w:val="1"/>
    <w:next w:val="1"/>
    <w:qFormat/>
    <w:uiPriority w:val="99"/>
    <w:pPr>
      <w:ind w:left="2500" w:leftChars="2500"/>
    </w:pPr>
    <w:rPr>
      <w:rFonts w:eastAsia="仿宋_GB2312"/>
      <w:sz w:val="32"/>
      <w:szCs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qFormat/>
    <w:uiPriority w:val="0"/>
    <w:pPr>
      <w:widowControl w:val="0"/>
      <w:spacing w:before="0" w:beforeAutospacing="1" w:after="0" w:afterAutospacing="1"/>
      <w:ind w:left="0" w:right="0"/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styleId="10">
    <w:name w:val="Hyperlink"/>
    <w:basedOn w:val="9"/>
    <w:qFormat/>
    <w:uiPriority w:val="0"/>
    <w:rPr>
      <w:color w:val="0000FF"/>
      <w:u w:val="single"/>
    </w:rPr>
  </w:style>
  <w:style w:type="character" w:customStyle="1" w:styleId="11">
    <w:name w:val="font0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2">
    <w:name w:val="fontstyle21"/>
    <w:basedOn w:val="9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13">
    <w:name w:val="font51"/>
    <w:basedOn w:val="9"/>
    <w:qFormat/>
    <w:uiPriority w:val="0"/>
    <w:rPr>
      <w:rFonts w:ascii="方正仿宋_GBK" w:hAnsi="方正仿宋_GBK" w:eastAsia="方正仿宋_GBK" w:cs="方正仿宋_GBK"/>
      <w:b/>
      <w:bCs/>
      <w:color w:val="000000"/>
      <w:sz w:val="28"/>
      <w:szCs w:val="28"/>
      <w:u w:val="none"/>
    </w:rPr>
  </w:style>
  <w:style w:type="character" w:customStyle="1" w:styleId="14">
    <w:name w:val="font41"/>
    <w:basedOn w:val="9"/>
    <w:qFormat/>
    <w:uiPriority w:val="0"/>
    <w:rPr>
      <w:rFonts w:ascii="黑体" w:hAnsi="宋体" w:eastAsia="黑体" w:cs="黑体"/>
      <w:color w:val="000000"/>
      <w:sz w:val="24"/>
      <w:szCs w:val="24"/>
      <w:u w:val="none"/>
    </w:rPr>
  </w:style>
  <w:style w:type="character" w:customStyle="1" w:styleId="15">
    <w:name w:val="font31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6">
    <w:name w:val="font61"/>
    <w:basedOn w:val="9"/>
    <w:qFormat/>
    <w:uiPriority w:val="0"/>
    <w:rPr>
      <w:rFonts w:ascii="仿宋_GB2312" w:eastAsia="仿宋_GB2312" w:cs="仿宋_GB2312"/>
      <w:color w:val="000000"/>
      <w:sz w:val="24"/>
      <w:szCs w:val="24"/>
      <w:u w:val="none"/>
    </w:rPr>
  </w:style>
  <w:style w:type="character" w:customStyle="1" w:styleId="17">
    <w:name w:val="font8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8">
    <w:name w:val="font71"/>
    <w:basedOn w:val="9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19">
    <w:name w:val="font9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0">
    <w:name w:val="font10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21">
    <w:name w:val="font112"/>
    <w:basedOn w:val="9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4281</Words>
  <Characters>4440</Characters>
  <Lines>0</Lines>
  <Paragraphs>0</Paragraphs>
  <TotalTime>0</TotalTime>
  <ScaleCrop>false</ScaleCrop>
  <LinksUpToDate>false</LinksUpToDate>
  <CharactersWithSpaces>4468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2025-02-10T05:34:00Z</dcterms:created>
  <dc:creator>WPS_1665631826</dc:creator>
  <cp:lastModifiedBy>白石</cp:lastModifiedBy>
  <cp:lastPrinted>2025-03-07T01:23:00Z</cp:lastPrinted>
  <dcterms:modified xsi:type="dcterms:W3CDTF">2025-06-04T02:20:01Z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9E261FA3991C4E3A8DD33F4A036DA7C0_13</vt:lpwstr>
  </property>
  <property fmtid="{D5CDD505-2E9C-101B-9397-08002B2CF9AE}" pid="4" name="KSOTemplateDocerSaveRecord">
    <vt:lpwstr>eyJoZGlkIjoiZGQ3ZjBjNmE2ZjY1MmFlMDI4NzVmYThiODM0ZGIzMzkiLCJ1c2VySWQiOiIxMTY5OTU0NDcyIn0=</vt:lpwstr>
  </property>
</Properties>
</file>