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2024年苏州市全面深化河湖长制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-6"/>
          <w:sz w:val="44"/>
          <w:szCs w:val="44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改革工作要点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0"/>
          <w:lang w:val="en-US" w:eastAsia="zh-CN"/>
        </w:rPr>
        <w:t>2024年是新中国成立75周年，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是深入实施“十四五”规划的攻坚之年。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年，全面深化河湖长制改革工作的总体要求是：坚持以习近平生态文明思想为指导，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全面贯彻党的二十大、二十届二中全会精神和习近平总书记对江苏、苏州工作重要讲话重要指示精神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落实中央、省关于河长制工作部署要求，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一以贯之强化河湖长制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围绕水安全、水生态、水资源、水文化等要素，全力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建设幸福河湖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努力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河湖治理体系和治理能力现代化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中走在前、作示范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为苏州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社会经济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高质量发展提供更加可靠的水环境保障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一、坚持责任推动、</w:t>
      </w:r>
      <w:r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</w:rPr>
        <w:t>齐抓共管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，切实增强河湖长治水护水行动自觉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1.健全理顺工作机制。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完善以河长领治为核心的责任体系，推动河长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</w:rPr>
        <w:t>守水有责、管水担责、护水尽责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。服务保障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val="en-US" w:eastAsia="zh-CN"/>
        </w:rPr>
        <w:t>各级河湖长定期开展巡河调研，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让巡河治水有意义有价值。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val="en-US" w:eastAsia="zh-CN"/>
        </w:rPr>
        <w:t>各级河长办立足平台职能强化统筹调度、督促检查，各河长制成员单位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  <w:t>按照职责分工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val="en-US" w:eastAsia="zh-CN"/>
        </w:rPr>
        <w:t>发挥专业优势，夯实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  <w:t>强有力的工作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eastAsia="zh-CN"/>
        </w:rPr>
        <w:t>基础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eastAsia="zh-CN"/>
        </w:rPr>
        <w:t>梳理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val="en-US" w:eastAsia="zh-CN"/>
        </w:rPr>
        <w:t>实施省市重点河湖“三项清单”和“一事一办”任务，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  <w:t>重大问题提请河长及时交办、专题会办、跟进督办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Cs/>
          <w:spacing w:val="-4"/>
          <w:sz w:val="32"/>
          <w:szCs w:val="32"/>
          <w:highlight w:val="none"/>
        </w:rPr>
        <w:t>各县级市（区）党委要在每年1月10日前将上年度河长制贯彻落实情况报市委、市政府。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2.强化河湖长履职尽责。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建立河湖长动态调整和责任递补机制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，分级分类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开展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基层河湖长和河长办人员培训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，强化河长责任意识，提升履职能力。完善基层河长履职定期评价机制，采取河长制报告单、履职提醒函和通报等形式，督促河长规范履职，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压实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河长工作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责任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科学组织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河湖长制综合评估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，严格执行考核问责，加强正向激励和反向约束，强化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考核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结果运用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总结提炼创新经验，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积极争取国务院、省河长制督查激励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3.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构建全民治水格局。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“联合河长+党支部+攻坚项目”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联合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机制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“河长+检察长”“+警长”等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协同模式，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继续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开展镇村级跨界河湖协同共治行动，打通河湖管护“最后一公里”。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规范河长制公示牌设置，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拓宽公众监督渠道，让人民成为治水重要补充力量，进一步提升群众的感知度与获得感。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巩固河长制宣传矩阵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开展最美基层（民间）河长评选，调动全民参与的积极性，营造“人人皆河长”社会氛围。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</w:rPr>
        <w:t>坚持生态优先、绿色发展，</w:t>
      </w:r>
      <w:r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全面</w:t>
      </w:r>
      <w:r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</w:rPr>
        <w:t>提升河湖治理保护质</w:t>
      </w:r>
      <w:r>
        <w:rPr>
          <w:rFonts w:hint="default" w:ascii="Times New Roman" w:hAnsi="Times New Roman" w:eastAsia="黑体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效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4.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提速构建现代水网。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加快推进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吴淞江整治、望虞河拓浚、太浦河后续等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流域性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工程，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抓好工程项目“三定一督”，积极拓展资金渠道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提升水旱灾害防御能力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治理区域骨干河道畅通腹部水网，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实施元和塘、清溪河、锡北运河等中小河流综合治理，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推进区域供水互联互通，强化饮用水水源地保护，形成“水源保护、原水互备、预警防控”的安全供水格局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。推进浏河枢纽、北福山塘泵站、十一圩江边枢纽、走马塘枢纽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沿江引排工程，提升洪涝外排和水资源调控能力。有序推进防洪包围圈达标建设，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完善特大暴雨城市防洪避险预案，提标雨水管网排水能力，健全预警“叫应”机制，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提高极端情况的风险预知和处置能力，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</w:rPr>
        <w:fldChar w:fldCharType="begin"/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</w:rPr>
        <w:instrText xml:space="preserve"> HYPERLINK "http://www.baidu.com/link?url=o0NaVCs4AS3UqEN_4vkODmD7sAJjemY0GfcXQT1MnRQ_r49PSkIqLU2JQx5y_sdvqF0H8NNR6I5qL-fSJyUsi8aIAHa85SxEhI2d42w6u7u" \t "https://www.baidu.com/_blank" </w:instrTex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</w:rPr>
        <w:fldChar w:fldCharType="separate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/>
          <w:lang w:eastAsia="zh-CN"/>
        </w:rPr>
        <w:t>增强</w:t>
      </w:r>
      <w:r>
        <w:rPr>
          <w:rStyle w:val="10"/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</w:rPr>
        <w:t>城市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</w:rPr>
        <w:fldChar w:fldCharType="end"/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/>
          <w:lang w:eastAsia="zh-CN"/>
        </w:rPr>
        <w:t>韧性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5.提升水环境整体质量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推进绿色低碳发展，加强绿色服务体系建设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加快建立绿色制造体系，探索推进“近零碳”工厂和园区建设，完成涉磷企业整治7221家。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强化断面水环境目标管理，深入推进入河排污口排查整治，年度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省考地表水达到或优于Ⅲ类水体比例达到95%。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聚焦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湖泊水质攻坚，加大太湖湖体及通湖河道水质监测和溯源整治力度，保持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太湖苏州辖区、阳澄湖水质稳定达Ⅲ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，力争昆承湖、澄湖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达Ⅲ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，淀山湖、元荡总磷浓度持续改善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</w:rPr>
        <w:t>发展低碳清洁航运设施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</w:rPr>
        <w:t>严格船舶防污染监督检查，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强化船舶污染物接收转运处置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推进“三高一美”建设，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推行规模以上池塘养殖尾水排放、清塘污泥备案制度，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新建高标准农田5.13万亩，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新增高效节水灌溉面积4600亩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建立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劣V类水体治理长效管理机制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巩固治理成效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，逐步推进V类水体再提质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eastAsia="zh-CN" w:bidi="ar-SA"/>
        </w:rPr>
        <w:t>加快环境基础设施建设，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实施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城市生活污水全收集全处理建设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五年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</w:rPr>
        <w:t>计划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加快农村生活污水处理设施改造和提升，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新建污水管网100公里，实施污水处理厂“一厂一策”，新增污水处理能力30万吨/日，自然村农村生活污水治理率达98%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eastAsia="zh-CN" w:bidi="ar-SA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6.</w:t>
      </w:r>
      <w:r>
        <w:rPr>
          <w:rFonts w:hint="default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强化河湖空间管控</w:t>
      </w:r>
      <w:r>
        <w:rPr>
          <w:rFonts w:hint="default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持续开展河湖保护专项行动，重点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围绕上年度延期整改问题、“两河两湖”新增问题、骨干河湖问题排查建档三项目标任务展开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，分类分期组织整改，逐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一销号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实现问题存量清零，增量杜绝。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以河湖专项整治为契机，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压实巡查人员、管理单位、水行政主管部门的“三方责任”，营造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严管严控的河湖保护氛围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。加强涉河项目全过程监管，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严禁未批先建、边批边建、批建不符等问题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，主动协调发改、交通、铁路等部门，有效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推动涉河影响工程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问题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解决。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开展水域监测评估和河湖健康评价，完善河湖健康档案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完成张家港河自然资源统一确权登记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稳步实施“退圩还湖”，东山三大圩堤和漫山圩堤防工程进度完成50%。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复制推广“水域银行”机制，延伸惠企便民服务触角。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7.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加大水生态保护力度。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highlight w:val="none"/>
          <w:lang w:val="en-US" w:eastAsia="zh-CN" w:bidi="ar-SA"/>
        </w:rPr>
        <w:t>紧抓长江经济带发展、新一轮太湖综合治理和示范区“一河三湖”治理等大事要事，重点做好大江大河治理保护。</w:t>
      </w:r>
      <w:r>
        <w:rPr>
          <w:rFonts w:ascii="Times New Roman" w:hAnsi="Times New Roman" w:eastAsia="仿宋_GB2312" w:cs="Times New Roman"/>
          <w:spacing w:val="-6"/>
          <w:sz w:val="32"/>
          <w:szCs w:val="32"/>
          <w:shd w:val="clear" w:color="auto" w:fill="FFFFFF"/>
        </w:rPr>
        <w:t>深入打好长江保护修复攻坚战，长江干流国省考断面年均水质达到</w:t>
      </w:r>
      <w:r>
        <w:rPr>
          <w:rFonts w:hint="default" w:ascii="Times New Roman" w:hAnsi="Times New Roman" w:eastAsia="宋体" w:cs="Times New Roman"/>
          <w:spacing w:val="-6"/>
          <w:sz w:val="32"/>
          <w:szCs w:val="32"/>
          <w:shd w:val="clear" w:color="auto" w:fill="FFFFFF"/>
        </w:rPr>
        <w:t>Ⅱ</w:t>
      </w:r>
      <w:r>
        <w:rPr>
          <w:rFonts w:ascii="Times New Roman" w:hAnsi="Times New Roman" w:eastAsia="仿宋_GB2312" w:cs="Times New Roman"/>
          <w:spacing w:val="-6"/>
          <w:sz w:val="32"/>
          <w:szCs w:val="32"/>
          <w:shd w:val="clear" w:color="auto" w:fill="FFFFFF"/>
        </w:rPr>
        <w:t>类，27个省考以上通江河道断面年均水质全部达到或好于</w:t>
      </w:r>
      <w:r>
        <w:rPr>
          <w:rFonts w:hint="default" w:ascii="Times New Roman" w:hAnsi="Times New Roman" w:eastAsia="宋体" w:cs="Times New Roman"/>
          <w:spacing w:val="-6"/>
          <w:sz w:val="32"/>
          <w:szCs w:val="32"/>
          <w:shd w:val="clear" w:color="auto" w:fill="FFFFFF"/>
        </w:rPr>
        <w:t>Ⅲ</w:t>
      </w:r>
      <w:r>
        <w:rPr>
          <w:rFonts w:ascii="Times New Roman" w:hAnsi="Times New Roman" w:eastAsia="仿宋_GB2312" w:cs="Times New Roman"/>
          <w:spacing w:val="-6"/>
          <w:sz w:val="32"/>
          <w:szCs w:val="32"/>
          <w:shd w:val="clear" w:color="auto" w:fill="FFFFFF"/>
        </w:rPr>
        <w:t>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。扎实推进新一轮太湖综合治理，</w:t>
      </w:r>
      <w:r>
        <w:rPr>
          <w:rFonts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完成治太项目投资额不低于40亿元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继续开展望虞河一二级支浜整治提升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年内完成清淤总量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60万方。推进蓝藻主动防控体系建设，蓝藻（藻泥）无害化处理率、综合利用率分别达到100% 、90%，加强饮用水水源地保护，守护好长三角“大水缸”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推进长江、太湖、大运河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沿岸造林绿化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完成营造林任务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2.7万亩，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全市湿地保护率达到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72%以上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落实“一湖一策”系统治理，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推动幸福河湖串珠成链、连片成群，建设幸福河湖260条，鼓励跨界幸福河湖联合创建，建成长漾国家级幸福河湖。各县级市、吴江区建成市级示范幸福河湖至少2条，其他各区建成市级示范幸福河湖至少1条，重点培育建成区幸福河湖样板，城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市建成区幸福河湖覆盖率达75%以上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学习借鉴“千万工程”经验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夯实乡村全面振兴基础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，年度建设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农村生态河道228条（309公里），创建县乡级生态河道超344.7公里。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8.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加强最严格水资源管理。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贯彻“四水四定”原则，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强化水资源刚性约束，推动用水方式由粗放向节约集约转变。严格用水总量和强度指标管控，推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节水技改压减和取水许可核减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推动火电企业直流改循环用水、纺织印染企业中水回收、再生水利用配套设施建设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强化用水全过程动态监管。紧扣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省下达的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年度用水总量和万元GDP水耗控制目标，加强城乡节水降损、工业节水减排、农业节水增效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鼓励和支持非常规水源开发利用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 w:bidi="ar"/>
        </w:rPr>
        <w:t>2024年，万元GDP用水量较2020年下降15.2%，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城市再生水利用率达到30%以上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节水灌溉面积达到总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地面积的68%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农田灌溉水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有效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利用系数达到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0.688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深化用水权改革，创新交易形式、扩大交易规模。深入推进节水型社会、节水型城市创建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/>
          <w:lang w:eastAsia="zh-CN" w:bidi="ar"/>
        </w:rPr>
        <w:t>提高水资源利用效率，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推广“节水贷”金融服务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鼓励建设节水产业园区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  <w:t>持续遴选发布水效领跑者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/>
          <w:lang w:eastAsia="zh-CN" w:bidi="ar"/>
        </w:rPr>
        <w:t>让“节水即减排”理念落到实处。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三、坚持守正创新、高效协同，持续焕发河湖长制改革新的生命力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9.深入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水文化传承弘扬。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以水脉承文脉，推进长江大运河国家文化公园、太湖博物馆（太湖水文化馆）和太湖研究院建设，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高标准建设太湖生态岛，唱响新时代太湖美，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使人们一提到太湖首先就想到苏州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。出版水文化地图，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切实加强水利遗产的保护和利用，提升水利工程的文化品位，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以七浦塘、西塘河等水利工程为依托，采取“工程+文化”等形式，鼓励水文化多元化发展。以国家级省级水利风景区、水情教育基地、治水科普园、河长制主题公园等为载体，利用水日水周时间节点加强水文化宣传教育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引导建立人水和谐的生产生活方式。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10.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创新水环境数字化治理。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抢抓数字化改革新机遇，深化智水苏州平台建设，构建以河湖、闸站、管网数字孪生为核心的智慧水网体系，提高防洪、供水、生态等综合调度管理水平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加强“小、巧、灵”数字化案例应用，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推动河湖长制与基层治理深度融合，促进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河长制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业务流程再造。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做好省市县数据常态化互联互通，探索无人机巡河、数字巡河等治水新路径，以数字赋能助力河长高效履职。完善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“一河（湖）一档”，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加快构建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“管水一张图、护水一张网、智水一个库、兴水一门户、调水一中心”的数字化支撑体系，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提升河湖治理智慧决策水平。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bC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11.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深化跨界水体协同共治。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深入推进长三角一体化发展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总结宣传长三角一体化五周年治水经验案例，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auto"/>
          <w:lang w:eastAsia="zh-CN"/>
        </w:rPr>
        <w:t>推广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《长三角示范区联合河（湖）长制工作规范》，探索制定平原河网地区河湖巡查工作规范，推动跨界河湖协同治理标准化、规范化、制度化建设。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auto"/>
          <w:lang w:eastAsia="zh-CN"/>
        </w:rPr>
        <w:t>巩固太湖淀山湖协作机制，配合省河长办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积极发挥轮值带动作用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，持续推进示范区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“一河三湖”联保共治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和望虞河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“漕湖—鹅真荡”示范区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建设。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val="zh-CN" w:eastAsia="zh-CN"/>
        </w:rPr>
        <w:t>深化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auto"/>
          <w:lang w:eastAsia="zh-CN"/>
        </w:rPr>
        <w:t>环太湖四市河长制协作机制，推动开展联合培训、联合巡河、联合保洁等，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拓展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形成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</w:rPr>
        <w:t>跨省市协调、跨区域共治、跨部门联动的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fill="auto"/>
          <w:lang w:eastAsia="zh-CN"/>
        </w:rPr>
        <w:t>太湖治理保护工作框架。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val="zh-CN" w:eastAsia="zh-CN"/>
        </w:rPr>
        <w:t>开展跨界河湖共保联治专项行动，选定重点河湖治理、区域难题治理、连片系统治理、基层共治共管的先行区示范项目，着力解决群众关心、关注的突出水问题。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加强水葫芦联防联控，全力保障进博会外围水环境。配合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zh-CN" w:eastAsia="zh-CN" w:bidi="ar"/>
        </w:rPr>
        <w:t>推进文明城市创建，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对照文明城市测评标准，保障重点区域河道环境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zh-CN" w:eastAsia="zh-CN" w:bidi="ar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以良好的水环境助力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zh-CN" w:eastAsia="zh-CN" w:bidi="ar"/>
        </w:rPr>
        <w:t>文明典范城市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创建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zh-CN" w:eastAsia="zh-CN" w:bidi="ar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12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 w:bidi="ar"/>
        </w:rPr>
        <w:t>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 w:bidi="ar"/>
        </w:rPr>
        <w:t>探索水产业增值富民。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-SA"/>
        </w:rPr>
        <w:t>以苏州“一江、百湖、万河”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的独特资源禀赋为基底，平衡河湖保护与利用，有效盘活水经济，推动生态产品价值向经济价值转化。加大与科研院所合作交流，发挥水环境治理专家智库作用，推进水治理技术研发、水产业链延链补链。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加大研发攻关力度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打造节能环保产业新的增长点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以古城、古镇、太湖、阳澄湖、金鸡湖、大运河、环城河等为依托，持续发展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水上游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水上运动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和民宿旅游等服务产业，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探索建设“15分钟”亲水生态圈，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协同完善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沿河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shd w:val="clear" w:fill="FFFFFF"/>
        </w:rPr>
        <w:t>基础设施，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促进农文旅融合发展，让好山好水兴产利民。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pacing w:val="-4"/>
          <w:kern w:val="0"/>
          <w:sz w:val="32"/>
          <w:szCs w:val="32"/>
          <w:highlight w:val="none"/>
          <w:lang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74" w:leftChars="304" w:hanging="936" w:hangingChars="300"/>
        <w:jc w:val="both"/>
        <w:textAlignment w:val="auto"/>
        <w:rPr>
          <w:rFonts w:hint="default" w:ascii="Times New Roman" w:hAnsi="Times New Roman" w:eastAsia="仿宋_GB2312" w:cs="Times New Roman"/>
          <w:bCs/>
          <w:spacing w:val="-4"/>
          <w:kern w:val="0"/>
          <w:sz w:val="32"/>
          <w:szCs w:val="32"/>
          <w:highlight w:val="no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Cs/>
          <w:color w:val="auto"/>
          <w:spacing w:val="-4"/>
          <w:kern w:val="0"/>
          <w:sz w:val="32"/>
          <w:szCs w:val="32"/>
          <w:highlight w:val="none"/>
          <w:lang w:eastAsia="zh-CN" w:bidi="ar"/>
        </w:rPr>
        <w:t>附件：</w:t>
      </w:r>
      <w:r>
        <w:rPr>
          <w:rFonts w:hint="default" w:ascii="Times New Roman" w:hAnsi="Times New Roman" w:eastAsia="仿宋_GB2312" w:cs="Times New Roman"/>
          <w:bCs/>
          <w:spacing w:val="-4"/>
          <w:kern w:val="0"/>
          <w:sz w:val="32"/>
          <w:szCs w:val="32"/>
          <w:highlight w:val="none"/>
          <w:lang w:val="en-US" w:eastAsia="zh-CN" w:bidi="ar"/>
        </w:rPr>
        <w:t>2024年苏州市全面深化河湖长制改革工作要点责任清单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Cs/>
          <w:spacing w:val="-4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Cs/>
          <w:spacing w:val="-4"/>
          <w:kern w:val="0"/>
          <w:sz w:val="32"/>
          <w:szCs w:val="32"/>
          <w:highlight w:val="none"/>
          <w:lang w:val="en-US" w:eastAsia="zh-CN" w:bidi="ar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64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spacing w:val="-4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Cs/>
          <w:spacing w:val="-4"/>
          <w:kern w:val="0"/>
          <w:sz w:val="44"/>
          <w:szCs w:val="44"/>
          <w:highlight w:val="none"/>
          <w:lang w:val="en-US" w:eastAsia="zh-CN" w:bidi="ar"/>
        </w:rPr>
        <w:t>2024年苏州市全面深化河湖长制改革工作要点责任清单</w:t>
      </w:r>
    </w:p>
    <w:p>
      <w:pPr>
        <w:widowControl w:val="0"/>
        <w:jc w:val="both"/>
        <w:rPr>
          <w:rFonts w:hint="default" w:ascii="Times New Roman" w:hAnsi="Times New Roman" w:eastAsia="宋体" w:cs="Times New Roman"/>
          <w:kern w:val="2"/>
          <w:sz w:val="32"/>
          <w:szCs w:val="32"/>
          <w:lang w:val="en-US" w:eastAsia="zh-CN" w:bidi="ar-SA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3"/>
        <w:gridCol w:w="472"/>
        <w:gridCol w:w="4163"/>
        <w:gridCol w:w="1731"/>
        <w:gridCol w:w="2850"/>
        <w:gridCol w:w="2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13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任务类别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1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重点任务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牵头单位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配合单位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实施主体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一、健全理顺工作机制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服务保障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各级河湖长定期开展巡河调研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市河长制改革成员单位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各级河长办强化统筹调度和督促检查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各河长制成员单位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  <w:t>按照职责分工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发挥专业优势，夯实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eastAsia="zh-CN"/>
              </w:rPr>
              <w:t>基础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市河长制改革成员单位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市河长制改革成员单位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eastAsia="zh-CN"/>
              </w:rPr>
              <w:t>梳理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val="en-US" w:eastAsia="zh-CN"/>
              </w:rPr>
              <w:t>实施省市重点河湖“三项清单”和“一事一办”任务，</w:t>
            </w: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  <w:t>重大问题提请河长及时交办、专题会办、跟进督办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市河长制改革成员单位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  <w:t>各县级市（区）党委要在每年1月10日前将上年度河长制贯彻落实情况报市委、市政府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区）党委政府（管委会）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二、强化河湖长履职尽责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建立河湖长动态调整和责任递补机制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，分级分类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开展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基层河湖长和河长办人员培训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完善基层河长履职定期评价机制，采取河长制报告单、履职提醒函和通报等形式，督促河长规范履职，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压实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河长工作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责任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二、强化河湖长履职尽责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科学组织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河湖长制综合评估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严格执行考核问责，加强正向激励和反向约束，强化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考核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结果运用，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总结提炼创新经验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，积极争取国务院、省河长制督查激励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三、构建全民治水格局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完善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“联合河长+党支部+攻坚项目”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联合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机制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“河长+检察长”“+警长”等协同模式，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继续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开展镇村级跨界河湖协同共治行动，打通河湖管护“最后一公里”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规范河长制公示牌设置，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拓宽公众监督渠道，让人民成为治水重要补充力量，进一步提升群众的感知度与获得感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spacing w:val="-4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巩固河长制宣传矩阵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color="auto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开展最美基层（民间）河长评选，调动全民参与的积极性，营造“人人皆河长”社会氛围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县级市（区）河长办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四、提速构建现代水网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加快推进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吴淞江整治、望虞河拓浚、太浦河后续等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流域性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工程，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抓好工程项目“三定一督”，积极拓展资金渠道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提升水旱灾害防御能力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市发改委、市财政局、市资规局、市生态环境局、市交通局</w:t>
            </w:r>
          </w:p>
        </w:tc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常熟市、昆山市、吴江区、吴中区、相城区人民政府，工业园区管委会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实施元和塘、清溪河、锡北运河等中小河流综合治理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市发改委、市资规局、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市生态环境局</w:t>
            </w:r>
          </w:p>
        </w:tc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推进建设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市水务集团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吴中（Ⅱ路）、市水务集团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吴中（Ⅲ路）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供水互联互通管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吴中区人民政府、吴中区水务局</w:t>
            </w:r>
          </w:p>
        </w:tc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市水务集团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推进浏河枢纽、北福山塘泵站、十一圩江边枢纽、走马塘枢纽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沿江引排工程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市发改委、市财政局、市资规局、市生态环境局、市文广旅局</w:t>
            </w:r>
          </w:p>
        </w:tc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有序推进防洪包围圈达标建设，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完善特大暴雨城市防洪避险预案，提标雨水管网排水能力，健全预警“叫应”机制，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提高极端情况的风险预知和处置能力，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 w:fill="auto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 w:fill="auto"/>
              </w:rPr>
              <w:instrText xml:space="preserve"> HYPERLINK "http://www.baidu.com/link?url=o0NaVCs4AS3UqEN_4vkODmD7sAJjemY0GfcXQT1MnRQ_r49PSkIqLU2JQx5y_sdvqF0H8NNR6I5qL-fSJyUsi8aIAHa85SxEhI2d42w6u7u" \t "https://www.baidu.com/_blank" </w:instrTex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 w:fill="auto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/>
                <w:lang w:eastAsia="zh-CN"/>
              </w:rPr>
              <w:t>增强</w:t>
            </w:r>
            <w:r>
              <w:rPr>
                <w:rStyle w:val="10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 w:fill="FFFFFF"/>
              </w:rPr>
              <w:t>城市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 w:fill="auto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u w:val="none"/>
                <w:shd w:val="clear"/>
                <w:lang w:eastAsia="zh-CN"/>
              </w:rPr>
              <w:t>韧性</w:t>
            </w:r>
          </w:p>
        </w:tc>
        <w:tc>
          <w:tcPr>
            <w:tcW w:w="17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市住建局、市城管局、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市交通局、市应急局</w:t>
            </w:r>
          </w:p>
        </w:tc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五、提升水环境整体质量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推进绿色低碳发展，加强绿色服务体系建设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加快建立绿色制造体系，探索推进“近零碳”工厂和园区建设，完成涉磷企业整治7221家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市发改委、市工信局、市生态环境局按职责分工负责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深入推进入河排污口排查整治，年度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省考地表水达到或优于Ⅲ类水体比例达到95%，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保持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太湖苏州辖区、阳澄湖水质稳定达Ⅲ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，力争昆承湖、澄湖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达Ⅲ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，淀山湖、元荡总磷浓度持续改善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市生态环境局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市水务局、市农业农村局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发展低碳清洁航运设施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严格船舶防污染监督检查，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强化船舶污染物接收转运处置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市交通局</w:t>
            </w:r>
          </w:p>
        </w:tc>
        <w:tc>
          <w:tcPr>
            <w:tcW w:w="2850" w:type="dxa"/>
            <w:vAlign w:val="center"/>
          </w:tcPr>
          <w:p>
            <w:pPr>
              <w:pStyle w:val="4"/>
              <w:widowControl w:val="0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市生态环境局、</w:t>
            </w:r>
          </w:p>
          <w:p>
            <w:pPr>
              <w:pStyle w:val="4"/>
              <w:widowControl w:val="0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市城管局、市水务局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五、提升水环境整体质量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推进“三高一美”建设，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推行规模以上池塘养殖尾水排放、清塘污泥备案制度，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新建高标准农田5.13万亩，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新增高效节水灌溉面积4600亩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市农业农村局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建立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劣V类水体治理长效管理机制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巩固治理成效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，逐步推进V类水体再提质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市污防办，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市生态环境局、市水务局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  <w:t>新建污水管网100公里，实施污水处理厂“一厂一策”，新增污水处理能力30万吨/日，自然村农村生活污水治理率达98%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六、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强化河湖空间管控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2"/>
                <w:sz w:val="24"/>
                <w:szCs w:val="24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持续开展河湖保护专项行动，重点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围绕上年度延期整改问题、“两河两湖”新增问题、骨干河湖问题排查建档三项目标任务展开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，分类分期组织整改，逐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一销号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实现问题存量清零，增量杜绝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市资规局、市城管局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加强涉河项目全过程监管，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严禁未批先建、边批边建、批建不符等问题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，主动协调发改、交通、铁路等部门，有效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推动涉河影响工程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问题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解决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市发改委、市交通局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开展水域监测评估和河湖健康评价，完善河湖健康档案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  <w:t>完成张家港河自然资源统一确权登记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市资规局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稳步实施“退圩还湖”，东山三大圩堤和漫山圩堤防工程进度完成50%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市资规局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吴中区人民政府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pacing w:val="-6"/>
                <w:kern w:val="2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复制推广“水域银行”机制，延伸惠企便民服务触角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七、加大水生态保护力度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bidi="ar"/>
              </w:rPr>
              <w:t>深入打好长江保护修复攻坚战，长江干流国省考断面年均水质达到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bidi="ar"/>
              </w:rPr>
              <w:t>Ⅱ</w:t>
            </w:r>
            <w:r>
              <w:rPr>
                <w:rFonts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bidi="ar"/>
              </w:rPr>
              <w:t>类，27个省考以上通江河道断面年均水质全部达到或好于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bidi="ar"/>
              </w:rPr>
              <w:t>Ⅲ</w:t>
            </w:r>
            <w:r>
              <w:rPr>
                <w:rFonts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bidi="ar"/>
              </w:rPr>
              <w:t>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  <w:t>。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市生态环境局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扎实推进新一轮太湖综合治理，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完成治太项目投资额不低于40亿元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继续开展望虞河一二级支浜整治提升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年内完成清淤总量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60万方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市生态环境局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市资规局、市交通局、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市水务局、市农业农村局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推进蓝藻主动防控体系建设，蓝藻（藻泥）无害化处理率、综合利用率分别达到100% 、90%，加强饮用水水源地保护，守护好长三角“大水缸”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推进长江、太湖、大运河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沿岸造林绿化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完成营造林任务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2.7万亩，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全市湿地保护率达到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72%以上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。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市园林局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建设幸福河湖260条，鼓励跨界幸福河湖联合创建，建成长漾国家级幸福河湖。各县级市、吴江区建成市级示范幸福河湖至少2条，其他各区建成市级示范幸福河湖至少1条，城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市建成区幸福河湖覆盖率达75%以上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市生态环境局、市园林局、市交通局、市水务局、市农业农村局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年度建设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农村生态河道228条（309公里），创建县乡级生态河道超344.7公里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市农业农村局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八、加强最严格水资源</w:t>
            </w:r>
          </w:p>
          <w:p>
            <w:pPr>
              <w:numPr>
                <w:ilvl w:val="-1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  <w:t>管理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eastAsia="zh-CN" w:bidi="ar"/>
              </w:rPr>
              <w:t>万元GDP用水量较2020年下降15.2%，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城市再生水利用率达到30%以上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节水灌溉面积达到总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地面积的68%。农田灌溉水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  <w:t>利用系数达到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0.688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auto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bidi="ar"/>
              </w:rPr>
              <w:t>推广“节水贷”金融服务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bidi="ar"/>
              </w:rPr>
              <w:t>鼓励建设节水产业园区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bidi="ar"/>
              </w:rPr>
              <w:t>持续遴选发布水效领跑者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  <w:lang w:eastAsia="zh-CN" w:bidi="ar"/>
              </w:rPr>
              <w:t>让“节水即减排”理念落到实处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  <w:t>九、深入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水文化传承弘扬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以水脉承文脉，推进长江大运河国家文化公园、太湖博物馆（太湖水文化馆）和太湖研究院建设，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高标准建设太湖生态岛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市委宣传部、市文广旅局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以国家级省级水利风景区、水情教育基地、治水科普园、河长制主题公园等为载体，利用水日水周时间节点加强水文化宣传教育，出版水文化地图，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引导建立人水和谐的生产生活方式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市委宣传部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十、创新水环境数字化</w:t>
            </w:r>
          </w:p>
          <w:p>
            <w:pPr>
              <w:numPr>
                <w:ilvl w:val="-1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治理</w:t>
            </w: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抢抓数字化改革新机遇，深化智水苏州平台建设，构建以河湖、闸站、管网数字孪生为核心的智慧水网体系，提高防洪、供水、生态等综合调度管理水平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加强“小、巧、灵”数字化案例应用，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推动河湖长制与基层治理深度融合，促进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河长制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业务流程再造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做好省市县数据常态化互联互通，探索无人机巡河、数字巡河等治水新路径，以数字赋能助力河长高效履职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完善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“一河（湖）一档”，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加快构建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</w:rPr>
              <w:t>“管水一张图、护水一张网、智水一个库、兴水一门户、调水一中心”的数字化支撑体系，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提升河湖治理智慧决策水平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市水务局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十一、深化跨界水体协同</w:t>
            </w:r>
          </w:p>
          <w:p>
            <w:pPr>
              <w:numPr>
                <w:ilvl w:val="-1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  <w:t>共治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深入推进长三角一体化发展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总结宣传长三角一体化五周年治水经验案例，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  <w:t>推广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《长三角示范区联合河（湖）长制工作规范》，探索制定平原河网地区河湖巡查工作规范，推动跨界河湖协同治理标准化、规范化、制度化建设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  <w:t>巩固太湖淀山湖协作机制，配合省河长办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积极发挥轮值带动作用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，持续推进示范区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“一河三湖”联保共治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和望虞河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“漕湖—鹅真荡”示范区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建设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常熟市、吴江区、相城区河长办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常熟市、吴江区、相城区人民政府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zh-CN" w:eastAsia="zh-CN"/>
              </w:rPr>
              <w:t>深化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  <w:t>环太湖四市河长制协作机制，推动开展联合培训、联合巡河、联合保洁等，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拓展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形成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</w:rPr>
              <w:t>跨省市协调、跨区域共治、跨部门联动的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 w:fill="auto"/>
                <w:lang w:eastAsia="zh-CN"/>
              </w:rPr>
              <w:t>太湖治理保护工作框架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zh-CN" w:eastAsia="zh-CN"/>
              </w:rPr>
              <w:t>开展跨界河湖共保联治专项行动，选定重点河湖治理、区域难题治理、连片系统治理、基层共治共管的先行区示范项目，着力解决群众关心、关注的突出水问题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/>
              </w:rPr>
            </w:pPr>
          </w:p>
        </w:tc>
        <w:tc>
          <w:tcPr>
            <w:tcW w:w="472" w:type="dxa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加强水葫芦联防联控，全力保障进博会外围水环境。配合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zh-CN" w:eastAsia="zh-CN" w:bidi="ar"/>
              </w:rPr>
              <w:t>推进文明城市创建，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对照文明城市测评标准，保障重点区域河道环境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zh-CN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以良好的水环境助力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zh-CN" w:eastAsia="zh-CN" w:bidi="ar"/>
              </w:rPr>
              <w:t>文明典范城市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创建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  <w:t>十二、探索水产业增值</w:t>
            </w:r>
          </w:p>
          <w:p>
            <w:pPr>
              <w:numPr>
                <w:ilvl w:val="-1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  <w:t>富民</w:t>
            </w: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加大与科研院所合作交流，推进水治理技术研发、水产业链延链补链，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加大研发攻关力度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打造节能环保产业新的增长点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市河长办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各县级市（区）河长办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eastAsia="zh-CN"/>
              </w:rPr>
              <w:t>各县级市（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  <w:t>区）人民政府（管委会）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3" w:type="dxa"/>
            <w:vMerge w:val="continue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-6"/>
                <w:sz w:val="24"/>
                <w:szCs w:val="24"/>
                <w:highlight w:val="none"/>
                <w:shd w:val="clear" w:fill="FFFFFF"/>
                <w:lang w:eastAsia="zh-CN" w:bidi="ar"/>
              </w:rPr>
            </w:pPr>
          </w:p>
        </w:tc>
        <w:tc>
          <w:tcPr>
            <w:tcW w:w="47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4163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以古城、古镇、太湖、阳澄湖、金鸡湖、大运河、环城河等为依托，持续发展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水上游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水上运动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和民宿旅游等服务产业，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探索建设“15分钟”亲水圈，促进农文旅融合发展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市文广旅局</w:t>
            </w:r>
          </w:p>
        </w:tc>
        <w:tc>
          <w:tcPr>
            <w:tcW w:w="28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市水务局、市农业农村局</w:t>
            </w:r>
          </w:p>
        </w:tc>
        <w:tc>
          <w:tcPr>
            <w:tcW w:w="2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各县级市（区）人民政府（管委会）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highlight w:val="none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EFA4B96-80C4-4A27-8D20-C00C8F52786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C2F1964-1B27-4C61-9A53-100C1699CA0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EE38451-CDAE-433C-9F34-8895D54B3C2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8230574-6F46-4DE2-A2F9-1A7B61632D3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3428C"/>
    <w:multiLevelType w:val="singleLevel"/>
    <w:tmpl w:val="4AD3428C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3ZjBjNmE2ZjY1MmFlMDI4NzVmYThiODM0ZGIzMzkifQ=="/>
  </w:docVars>
  <w:rsids>
    <w:rsidRoot w:val="33BC4B72"/>
    <w:rsid w:val="040F1D3F"/>
    <w:rsid w:val="07A33C12"/>
    <w:rsid w:val="07AF3499"/>
    <w:rsid w:val="0A4523F2"/>
    <w:rsid w:val="0C6042C8"/>
    <w:rsid w:val="0D1F56A0"/>
    <w:rsid w:val="0D6374EF"/>
    <w:rsid w:val="0DA51197"/>
    <w:rsid w:val="0FEF1F4C"/>
    <w:rsid w:val="10A94C10"/>
    <w:rsid w:val="11A46DDB"/>
    <w:rsid w:val="15F615B8"/>
    <w:rsid w:val="17E7717C"/>
    <w:rsid w:val="1AB95DDE"/>
    <w:rsid w:val="1C425AB8"/>
    <w:rsid w:val="1C5B1EE6"/>
    <w:rsid w:val="1CCA112C"/>
    <w:rsid w:val="1EAB3AA8"/>
    <w:rsid w:val="1FD51BC5"/>
    <w:rsid w:val="26036CC6"/>
    <w:rsid w:val="28017F93"/>
    <w:rsid w:val="29FF5376"/>
    <w:rsid w:val="2A3D7223"/>
    <w:rsid w:val="2BB611C4"/>
    <w:rsid w:val="2EC125EC"/>
    <w:rsid w:val="2F941799"/>
    <w:rsid w:val="3041497A"/>
    <w:rsid w:val="33BC4B72"/>
    <w:rsid w:val="33CD1556"/>
    <w:rsid w:val="33D13BCC"/>
    <w:rsid w:val="342B2E4A"/>
    <w:rsid w:val="35B025DA"/>
    <w:rsid w:val="36790493"/>
    <w:rsid w:val="36E136B1"/>
    <w:rsid w:val="378B123B"/>
    <w:rsid w:val="3AE95412"/>
    <w:rsid w:val="3CB90F72"/>
    <w:rsid w:val="3E205AAE"/>
    <w:rsid w:val="3E42034B"/>
    <w:rsid w:val="3E8038E4"/>
    <w:rsid w:val="3FD47F98"/>
    <w:rsid w:val="40542C22"/>
    <w:rsid w:val="41DB278B"/>
    <w:rsid w:val="429412AF"/>
    <w:rsid w:val="42DD3CE7"/>
    <w:rsid w:val="42E04C7E"/>
    <w:rsid w:val="43A302C2"/>
    <w:rsid w:val="4513485D"/>
    <w:rsid w:val="4691796B"/>
    <w:rsid w:val="47354A7D"/>
    <w:rsid w:val="48090D78"/>
    <w:rsid w:val="4834741D"/>
    <w:rsid w:val="4A7C6E26"/>
    <w:rsid w:val="4B793043"/>
    <w:rsid w:val="4BD96800"/>
    <w:rsid w:val="4E230DCF"/>
    <w:rsid w:val="4F187EBD"/>
    <w:rsid w:val="4F4A120E"/>
    <w:rsid w:val="4FEA26F9"/>
    <w:rsid w:val="502F67A6"/>
    <w:rsid w:val="51B1750A"/>
    <w:rsid w:val="526D6DFF"/>
    <w:rsid w:val="537B1F4B"/>
    <w:rsid w:val="54820BB0"/>
    <w:rsid w:val="56ED00DF"/>
    <w:rsid w:val="570A6E53"/>
    <w:rsid w:val="586C7D1D"/>
    <w:rsid w:val="59E83F42"/>
    <w:rsid w:val="5A1D22F9"/>
    <w:rsid w:val="5C0C7591"/>
    <w:rsid w:val="5E490A40"/>
    <w:rsid w:val="5EB864E1"/>
    <w:rsid w:val="5FDE7F4F"/>
    <w:rsid w:val="609D0BF0"/>
    <w:rsid w:val="618F2628"/>
    <w:rsid w:val="61BF11A8"/>
    <w:rsid w:val="624408C0"/>
    <w:rsid w:val="65E50F2C"/>
    <w:rsid w:val="662E7C11"/>
    <w:rsid w:val="67BC733A"/>
    <w:rsid w:val="67DF6AF4"/>
    <w:rsid w:val="69016050"/>
    <w:rsid w:val="690525DD"/>
    <w:rsid w:val="6C947957"/>
    <w:rsid w:val="6D060036"/>
    <w:rsid w:val="6ECF0A18"/>
    <w:rsid w:val="6F1A28AB"/>
    <w:rsid w:val="6FA41F12"/>
    <w:rsid w:val="6FA554B7"/>
    <w:rsid w:val="71D92FD5"/>
    <w:rsid w:val="75D433F8"/>
    <w:rsid w:val="782E6FDD"/>
    <w:rsid w:val="787B678B"/>
    <w:rsid w:val="7B300108"/>
    <w:rsid w:val="7BFD699F"/>
    <w:rsid w:val="7FFE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next w:val="3"/>
    <w:autoRedefine/>
    <w:qFormat/>
    <w:uiPriority w:val="0"/>
    <w:pPr>
      <w:widowControl w:val="0"/>
      <w:shd w:val="clear" w:color="auto" w:fill="0000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autoRedefine/>
    <w:qFormat/>
    <w:uiPriority w:val="1"/>
    <w:pPr>
      <w:widowControl w:val="0"/>
      <w:jc w:val="both"/>
    </w:pPr>
    <w:rPr>
      <w:rFonts w:ascii="宋体" w:hAnsi="Times New Roman" w:eastAsia="宋体" w:cs="宋体"/>
      <w:kern w:val="2"/>
      <w:sz w:val="32"/>
      <w:szCs w:val="32"/>
      <w:lang w:val="en-US" w:eastAsia="zh-CN" w:bidi="ar-SA"/>
    </w:r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autoRedefine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9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2">
    <w:name w:val="样式2"/>
    <w:basedOn w:val="1"/>
    <w:autoRedefine/>
    <w:qFormat/>
    <w:uiPriority w:val="0"/>
    <w:pPr>
      <w:spacing w:line="560" w:lineRule="exact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2024-01-26T05:05:00Z</dcterms:created>
  <dc:creator>WPS_1665631826</dc:creator>
  <cp:lastModifiedBy>甜甜</cp:lastModifiedBy>
  <cp:lastPrinted>2024-02-22T07:16:00Z</cp:lastPrinted>
  <dcterms:modified xsi:type="dcterms:W3CDTF">2024-04-23T04:04:14Z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F345C5E6D3264C03B381FD9C1C9C8985_13</vt:lpwstr>
  </property>
</Properties>
</file>